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17DC" w14:textId="466B1314" w:rsidR="001A0819" w:rsidRPr="00E04B87" w:rsidRDefault="00146168" w:rsidP="009B2DBE">
      <w:pPr>
        <w:pStyle w:val="14ptCAPS"/>
        <w:rPr>
          <w:lang w:val="fr-CA"/>
        </w:rPr>
      </w:pPr>
      <w:r w:rsidRPr="00E04B87">
        <w:rPr>
          <w:lang w:val="fr-CA"/>
        </w:rPr>
        <w:t xml:space="preserve">MODÈLE DE POLITIQUE </w:t>
      </w:r>
      <w:r w:rsidR="00886F03">
        <w:rPr>
          <w:lang w:val="fr-CA"/>
        </w:rPr>
        <w:t>relative à la</w:t>
      </w:r>
      <w:r w:rsidRPr="00E04B87">
        <w:rPr>
          <w:lang w:val="fr-CA"/>
        </w:rPr>
        <w:t xml:space="preserve"> GESTION DE L’INFORMATION</w:t>
      </w:r>
    </w:p>
    <w:p w14:paraId="020B1756" w14:textId="77777777" w:rsidR="001A0819" w:rsidRPr="00E04B87" w:rsidRDefault="001A0819" w:rsidP="001A0819">
      <w:pPr>
        <w:rPr>
          <w:lang w:val="fr-CA"/>
        </w:rPr>
      </w:pPr>
    </w:p>
    <w:p w14:paraId="7E8AEB7F" w14:textId="77777777" w:rsidR="00272465" w:rsidRPr="00E04B87" w:rsidRDefault="00272465" w:rsidP="00272465">
      <w:pPr>
        <w:rPr>
          <w:lang w:val="fr-CA"/>
        </w:rPr>
      </w:pPr>
      <w:r w:rsidRPr="00E04B87">
        <w:rPr>
          <w:b/>
          <w:lang w:val="fr-CA"/>
        </w:rPr>
        <w:t>Entrée en vigueur</w:t>
      </w:r>
      <w:r w:rsidRPr="00E04B87">
        <w:rPr>
          <w:lang w:val="fr-CA"/>
        </w:rPr>
        <w:t xml:space="preserve"> </w:t>
      </w:r>
      <w:r w:rsidRPr="00E04B87">
        <w:rPr>
          <w:u w:val="single"/>
          <w:lang w:val="fr-CA"/>
        </w:rPr>
        <w:fldChar w:fldCharType="begin">
          <w:ffData>
            <w:name w:val=""/>
            <w:enabled/>
            <w:calcOnExit w:val="0"/>
            <w:textInput>
              <w:default w:val="[Insérer la date]"/>
            </w:textInput>
          </w:ffData>
        </w:fldChar>
      </w:r>
      <w:r w:rsidRPr="00E04B87">
        <w:rPr>
          <w:u w:val="single"/>
          <w:lang w:val="fr-CA"/>
        </w:rPr>
        <w:instrText xml:space="preserve"> FORMTEXT </w:instrText>
      </w:r>
      <w:r w:rsidRPr="00E04B87">
        <w:rPr>
          <w:u w:val="single"/>
          <w:lang w:val="fr-CA"/>
        </w:rPr>
      </w:r>
      <w:r w:rsidRPr="00E04B87">
        <w:rPr>
          <w:u w:val="single"/>
          <w:lang w:val="fr-CA"/>
        </w:rPr>
        <w:fldChar w:fldCharType="separate"/>
      </w:r>
      <w:r w:rsidRPr="00E04B87">
        <w:rPr>
          <w:noProof/>
          <w:u w:val="single"/>
          <w:lang w:val="fr-CA"/>
        </w:rPr>
        <w:t>[Insérer la date]</w:t>
      </w:r>
      <w:r w:rsidRPr="00E04B87">
        <w:rPr>
          <w:u w:val="single"/>
          <w:lang w:val="fr-CA"/>
        </w:rPr>
        <w:fldChar w:fldCharType="end"/>
      </w:r>
    </w:p>
    <w:p w14:paraId="32795C41" w14:textId="77777777" w:rsidR="00272465" w:rsidRPr="00E04B87" w:rsidRDefault="00272465" w:rsidP="00272465">
      <w:pPr>
        <w:rPr>
          <w:lang w:val="fr-CA"/>
        </w:rPr>
      </w:pPr>
    </w:p>
    <w:p w14:paraId="74D4F06B" w14:textId="77777777" w:rsidR="00272465" w:rsidRPr="00E04B87" w:rsidRDefault="00272465" w:rsidP="00272465">
      <w:pPr>
        <w:rPr>
          <w:lang w:val="fr-CA"/>
        </w:rPr>
      </w:pPr>
    </w:p>
    <w:p w14:paraId="28182BAA" w14:textId="77777777" w:rsidR="00272465" w:rsidRPr="00E04B87" w:rsidRDefault="00272465" w:rsidP="00272465">
      <w:pPr>
        <w:rPr>
          <w:lang w:val="fr-CA"/>
        </w:rPr>
      </w:pPr>
    </w:p>
    <w:p w14:paraId="424FD6B9" w14:textId="77777777" w:rsidR="00272465" w:rsidRPr="00E04B87" w:rsidRDefault="00272465" w:rsidP="00272465">
      <w:pPr>
        <w:rPr>
          <w:lang w:val="fr-CA"/>
        </w:rPr>
      </w:pPr>
    </w:p>
    <w:p w14:paraId="0BED595E" w14:textId="77777777" w:rsidR="00272465" w:rsidRPr="00E04B87" w:rsidRDefault="00272465" w:rsidP="00272465">
      <w:pPr>
        <w:rPr>
          <w:lang w:val="fr-CA"/>
        </w:rPr>
      </w:pPr>
    </w:p>
    <w:p w14:paraId="2B8A1CAD" w14:textId="77777777" w:rsidR="00272465" w:rsidRPr="00E04B87" w:rsidRDefault="00272465" w:rsidP="00272465">
      <w:pPr>
        <w:rPr>
          <w:lang w:val="fr-CA"/>
        </w:rPr>
      </w:pPr>
      <w:r w:rsidRPr="00E04B87">
        <w:rPr>
          <w:lang w:val="fr-CA"/>
        </w:rPr>
        <w:fldChar w:fldCharType="begin">
          <w:ffData>
            <w:name w:val="Text4"/>
            <w:enabled/>
            <w:calcOnExit w:val="0"/>
            <w:textInput>
              <w:default w:val="[Insérer le numéro de référence ou de résolution du conseil]"/>
            </w:textInput>
          </w:ffData>
        </w:fldChar>
      </w:r>
      <w:bookmarkStart w:id="0" w:name="Text4"/>
      <w:r w:rsidRPr="00E04B87">
        <w:rPr>
          <w:lang w:val="fr-CA"/>
        </w:rPr>
        <w:instrText xml:space="preserve"> FORMTEXT </w:instrText>
      </w:r>
      <w:r w:rsidRPr="00E04B87">
        <w:rPr>
          <w:lang w:val="fr-CA"/>
        </w:rPr>
      </w:r>
      <w:r w:rsidRPr="00E04B87">
        <w:rPr>
          <w:lang w:val="fr-CA"/>
        </w:rPr>
        <w:fldChar w:fldCharType="separate"/>
      </w:r>
      <w:r w:rsidRPr="00E04B87">
        <w:rPr>
          <w:noProof/>
          <w:lang w:val="fr-CA"/>
        </w:rPr>
        <w:t>[Insérer le numéro de référence ou de résolution du conseil]</w:t>
      </w:r>
      <w:r w:rsidRPr="00E04B87">
        <w:rPr>
          <w:lang w:val="fr-CA"/>
        </w:rPr>
        <w:fldChar w:fldCharType="end"/>
      </w:r>
      <w:bookmarkEnd w:id="0"/>
      <w:r w:rsidRPr="00E04B87">
        <w:rPr>
          <w:lang w:val="fr-CA"/>
        </w:rPr>
        <w:tab/>
      </w:r>
    </w:p>
    <w:p w14:paraId="6C7AF528" w14:textId="77777777" w:rsidR="001A0819" w:rsidRPr="00E04B87" w:rsidRDefault="001A0819" w:rsidP="001A0819">
      <w:pPr>
        <w:rPr>
          <w:lang w:val="fr-CA"/>
        </w:rPr>
      </w:pPr>
    </w:p>
    <w:p w14:paraId="441BF757" w14:textId="77777777" w:rsidR="001A0819" w:rsidRPr="00E04B87" w:rsidRDefault="001A0819" w:rsidP="001A0819">
      <w:pPr>
        <w:rPr>
          <w:lang w:val="fr-CA"/>
        </w:rPr>
      </w:pPr>
    </w:p>
    <w:p w14:paraId="7FECAF86" w14:textId="77777777" w:rsidR="001A0819" w:rsidRPr="00E04B87" w:rsidRDefault="001A0819" w:rsidP="001A0819">
      <w:pPr>
        <w:rPr>
          <w:lang w:val="fr-CA"/>
        </w:rPr>
      </w:pPr>
    </w:p>
    <w:p w14:paraId="3616AF9A" w14:textId="77777777" w:rsidR="001A0819" w:rsidRPr="00E04B87" w:rsidRDefault="001A0819" w:rsidP="001A0819">
      <w:pPr>
        <w:rPr>
          <w:lang w:val="fr-CA"/>
        </w:rPr>
      </w:pPr>
    </w:p>
    <w:p w14:paraId="1F5B6D9B" w14:textId="77777777" w:rsidR="001A0819" w:rsidRPr="00E04B87" w:rsidRDefault="001A0819" w:rsidP="001A0819">
      <w:pPr>
        <w:rPr>
          <w:lang w:val="fr-CA"/>
        </w:rPr>
      </w:pPr>
      <w:r w:rsidRPr="00E04B87">
        <w:rPr>
          <w:lang w:val="fr-CA"/>
        </w:rPr>
        <w:t xml:space="preserve"> </w:t>
      </w:r>
    </w:p>
    <w:p w14:paraId="118891CD" w14:textId="77777777" w:rsidR="001A0819" w:rsidRPr="00E04B87" w:rsidRDefault="001A0819" w:rsidP="001A0819">
      <w:pPr>
        <w:rPr>
          <w:lang w:val="fr-CA"/>
        </w:rPr>
      </w:pPr>
    </w:p>
    <w:p w14:paraId="3F4E2BAE" w14:textId="77777777" w:rsidR="00AC5D28" w:rsidRPr="00E04B87" w:rsidRDefault="00AC5D28" w:rsidP="009B2DBE">
      <w:pPr>
        <w:pStyle w:val="14ptCAPS"/>
        <w:rPr>
          <w:lang w:val="fr-CA"/>
        </w:rPr>
        <w:sectPr w:rsidR="00AC5D28" w:rsidRPr="00E04B87">
          <w:headerReference w:type="default" r:id="rId7"/>
          <w:footerReference w:type="default" r:id="rId8"/>
          <w:headerReference w:type="first" r:id="rId9"/>
          <w:footerReference w:type="first" r:id="rId10"/>
          <w:pgSz w:w="12240" w:h="15840"/>
          <w:pgMar w:top="1440" w:right="1080" w:bottom="1440" w:left="1800" w:header="706" w:footer="706" w:gutter="0"/>
          <w:cols w:space="708"/>
          <w:titlePg/>
        </w:sectPr>
      </w:pPr>
    </w:p>
    <w:p w14:paraId="34EE939E" w14:textId="3F3770DB" w:rsidR="001A0819" w:rsidRPr="00E04B87" w:rsidRDefault="00146168" w:rsidP="009B2DBE">
      <w:pPr>
        <w:pStyle w:val="14ptCAPS"/>
        <w:rPr>
          <w:lang w:val="fr-CA"/>
        </w:rPr>
      </w:pPr>
      <w:r w:rsidRPr="00E04B87">
        <w:rPr>
          <w:lang w:val="fr-CA"/>
        </w:rPr>
        <w:lastRenderedPageBreak/>
        <w:t>MODÈLE DE PROCÉDURE</w:t>
      </w:r>
      <w:r w:rsidR="00AB19A7" w:rsidRPr="00E04B87">
        <w:rPr>
          <w:lang w:val="fr-CA"/>
        </w:rPr>
        <w:t>S</w:t>
      </w:r>
      <w:r w:rsidRPr="00E04B87">
        <w:rPr>
          <w:lang w:val="fr-CA"/>
        </w:rPr>
        <w:t xml:space="preserve"> </w:t>
      </w:r>
      <w:r w:rsidR="00886F03">
        <w:rPr>
          <w:lang w:val="fr-CA"/>
        </w:rPr>
        <w:t>relatives à la</w:t>
      </w:r>
      <w:r w:rsidRPr="00E04B87">
        <w:rPr>
          <w:lang w:val="fr-CA"/>
        </w:rPr>
        <w:t xml:space="preserve"> GESTION DE L’INFORMATION</w:t>
      </w:r>
    </w:p>
    <w:p w14:paraId="3FA1F355" w14:textId="77777777" w:rsidR="001A0819" w:rsidRPr="00E04B87" w:rsidRDefault="001A0819" w:rsidP="001A0819">
      <w:pPr>
        <w:rPr>
          <w:lang w:val="fr-CA"/>
        </w:rPr>
      </w:pPr>
    </w:p>
    <w:p w14:paraId="4300E30A" w14:textId="77777777" w:rsidR="00272465" w:rsidRPr="00E04B87" w:rsidRDefault="00272465" w:rsidP="00272465">
      <w:pPr>
        <w:rPr>
          <w:lang w:val="fr-CA"/>
        </w:rPr>
      </w:pPr>
      <w:bookmarkStart w:id="1" w:name="lt_pId002"/>
      <w:r w:rsidRPr="00E04B87">
        <w:rPr>
          <w:b/>
          <w:lang w:val="fr-CA"/>
        </w:rPr>
        <w:t>Entrée en vigueur</w:t>
      </w:r>
      <w:bookmarkEnd w:id="1"/>
      <w:r w:rsidRPr="00E04B87">
        <w:rPr>
          <w:lang w:val="fr-CA"/>
        </w:rPr>
        <w:t xml:space="preserve"> </w:t>
      </w:r>
      <w:r w:rsidRPr="00E04B87">
        <w:rPr>
          <w:u w:val="single"/>
          <w:lang w:val="fr-CA"/>
        </w:rPr>
        <w:fldChar w:fldCharType="begin">
          <w:ffData>
            <w:name w:val=""/>
            <w:enabled/>
            <w:calcOnExit w:val="0"/>
            <w:textInput>
              <w:default w:val="[Insérer la date]"/>
            </w:textInput>
          </w:ffData>
        </w:fldChar>
      </w:r>
      <w:r w:rsidRPr="00E04B87">
        <w:rPr>
          <w:u w:val="single"/>
          <w:lang w:val="fr-CA"/>
        </w:rPr>
        <w:instrText xml:space="preserve"> FORMTEXT </w:instrText>
      </w:r>
      <w:r w:rsidRPr="00E04B87">
        <w:rPr>
          <w:u w:val="single"/>
          <w:lang w:val="fr-CA"/>
        </w:rPr>
      </w:r>
      <w:r w:rsidRPr="00E04B87">
        <w:rPr>
          <w:u w:val="single"/>
          <w:lang w:val="fr-CA"/>
        </w:rPr>
        <w:fldChar w:fldCharType="separate"/>
      </w:r>
      <w:r w:rsidRPr="00E04B87">
        <w:rPr>
          <w:noProof/>
          <w:u w:val="single"/>
          <w:lang w:val="fr-CA"/>
        </w:rPr>
        <w:t>[Insérer la date]</w:t>
      </w:r>
      <w:r w:rsidRPr="00E04B87">
        <w:rPr>
          <w:u w:val="single"/>
          <w:lang w:val="fr-CA"/>
        </w:rPr>
        <w:fldChar w:fldCharType="end"/>
      </w:r>
    </w:p>
    <w:p w14:paraId="1412C456" w14:textId="77777777" w:rsidR="00272465" w:rsidRPr="00E04B87" w:rsidRDefault="00272465" w:rsidP="00272465">
      <w:pPr>
        <w:rPr>
          <w:lang w:val="fr-CA"/>
        </w:rPr>
      </w:pPr>
    </w:p>
    <w:p w14:paraId="2F02D895" w14:textId="77777777" w:rsidR="00272465" w:rsidRPr="00E04B87" w:rsidRDefault="00272465" w:rsidP="00272465">
      <w:pPr>
        <w:rPr>
          <w:lang w:val="fr-CA"/>
        </w:rPr>
      </w:pPr>
    </w:p>
    <w:p w14:paraId="1B3B8E98" w14:textId="77777777" w:rsidR="00272465" w:rsidRPr="00E04B87" w:rsidRDefault="00272465" w:rsidP="00272465">
      <w:pPr>
        <w:rPr>
          <w:lang w:val="fr-CA"/>
        </w:rPr>
      </w:pPr>
    </w:p>
    <w:p w14:paraId="56DA151D" w14:textId="77777777" w:rsidR="00272465" w:rsidRPr="00E04B87" w:rsidRDefault="00272465" w:rsidP="00272465">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5216"/>
        <w:gridCol w:w="262"/>
        <w:gridCol w:w="3882"/>
      </w:tblGrid>
      <w:tr w:rsidR="00272465" w:rsidRPr="00E04B87" w14:paraId="6B6530C9" w14:textId="77777777" w:rsidTr="00272465">
        <w:tc>
          <w:tcPr>
            <w:tcW w:w="5216" w:type="dxa"/>
            <w:tcBorders>
              <w:top w:val="nil"/>
              <w:left w:val="nil"/>
              <w:bottom w:val="single" w:sz="4" w:space="0" w:color="000000" w:themeColor="text1"/>
              <w:right w:val="nil"/>
            </w:tcBorders>
            <w:hideMark/>
          </w:tcPr>
          <w:p w14:paraId="0768E6B6" w14:textId="77777777" w:rsidR="00272465" w:rsidRPr="00E04B87" w:rsidRDefault="00272465">
            <w:pPr>
              <w:tabs>
                <w:tab w:val="left" w:pos="960"/>
              </w:tabs>
              <w:rPr>
                <w:lang w:val="fr-CA"/>
              </w:rPr>
            </w:pPr>
            <w:r w:rsidRPr="00E04B87">
              <w:rPr>
                <w:lang w:val="fr-CA"/>
              </w:rPr>
              <w:fldChar w:fldCharType="begin">
                <w:ffData>
                  <w:name w:val="Text1"/>
                  <w:enabled/>
                  <w:calcOnExit w:val="0"/>
                  <w:textInput/>
                </w:ffData>
              </w:fldChar>
            </w:r>
            <w:bookmarkStart w:id="2" w:name="Text1"/>
            <w:r w:rsidRPr="00E04B87">
              <w:rPr>
                <w:lang w:val="fr-CA"/>
              </w:rPr>
              <w:instrText xml:space="preserve"> FORMTEXT </w:instrText>
            </w:r>
            <w:r w:rsidRPr="00E04B87">
              <w:rPr>
                <w:lang w:val="fr-CA"/>
              </w:rPr>
            </w:r>
            <w:r w:rsidRPr="00E04B87">
              <w:rPr>
                <w:lang w:val="fr-CA"/>
              </w:rPr>
              <w:fldChar w:fldCharType="separate"/>
            </w:r>
            <w:r w:rsidRPr="00E04B87">
              <w:rPr>
                <w:noProof/>
                <w:lang w:val="fr-CA"/>
              </w:rPr>
              <w:t> </w:t>
            </w:r>
            <w:r w:rsidRPr="00E04B87">
              <w:rPr>
                <w:noProof/>
                <w:lang w:val="fr-CA"/>
              </w:rPr>
              <w:t> </w:t>
            </w:r>
            <w:r w:rsidRPr="00E04B87">
              <w:rPr>
                <w:noProof/>
                <w:lang w:val="fr-CA"/>
              </w:rPr>
              <w:t> </w:t>
            </w:r>
            <w:r w:rsidRPr="00E04B87">
              <w:rPr>
                <w:noProof/>
                <w:lang w:val="fr-CA"/>
              </w:rPr>
              <w:t> </w:t>
            </w:r>
            <w:r w:rsidRPr="00E04B87">
              <w:rPr>
                <w:noProof/>
                <w:lang w:val="fr-CA"/>
              </w:rPr>
              <w:t> </w:t>
            </w:r>
            <w:r w:rsidRPr="00E04B87">
              <w:rPr>
                <w:lang w:val="fr-CA"/>
              </w:rPr>
              <w:fldChar w:fldCharType="end"/>
            </w:r>
            <w:bookmarkEnd w:id="2"/>
          </w:p>
        </w:tc>
        <w:tc>
          <w:tcPr>
            <w:tcW w:w="262" w:type="dxa"/>
          </w:tcPr>
          <w:p w14:paraId="5E677A2E" w14:textId="77777777" w:rsidR="00272465" w:rsidRPr="00E04B87" w:rsidRDefault="00272465">
            <w:pPr>
              <w:rPr>
                <w:lang w:val="fr-CA"/>
              </w:rPr>
            </w:pPr>
          </w:p>
        </w:tc>
        <w:tc>
          <w:tcPr>
            <w:tcW w:w="3882" w:type="dxa"/>
            <w:tcBorders>
              <w:top w:val="nil"/>
              <w:left w:val="nil"/>
              <w:bottom w:val="single" w:sz="4" w:space="0" w:color="000000" w:themeColor="text1"/>
              <w:right w:val="nil"/>
            </w:tcBorders>
            <w:hideMark/>
          </w:tcPr>
          <w:p w14:paraId="42C71B0A" w14:textId="77777777" w:rsidR="00272465" w:rsidRPr="00E04B87" w:rsidRDefault="00272465">
            <w:pPr>
              <w:rPr>
                <w:lang w:val="fr-CA"/>
              </w:rPr>
            </w:pPr>
            <w:r w:rsidRPr="00E04B87">
              <w:rPr>
                <w:lang w:val="fr-CA"/>
              </w:rPr>
              <w:fldChar w:fldCharType="begin">
                <w:ffData>
                  <w:name w:val="Text2"/>
                  <w:enabled/>
                  <w:calcOnExit w:val="0"/>
                  <w:textInput>
                    <w:default w:val="[Insérer la date]"/>
                  </w:textInput>
                </w:ffData>
              </w:fldChar>
            </w:r>
            <w:bookmarkStart w:id="3" w:name="Text2"/>
            <w:r w:rsidRPr="00E04B87">
              <w:rPr>
                <w:lang w:val="fr-CA"/>
              </w:rPr>
              <w:instrText xml:space="preserve"> FORMTEXT </w:instrText>
            </w:r>
            <w:r w:rsidRPr="00E04B87">
              <w:rPr>
                <w:lang w:val="fr-CA"/>
              </w:rPr>
            </w:r>
            <w:r w:rsidRPr="00E04B87">
              <w:rPr>
                <w:lang w:val="fr-CA"/>
              </w:rPr>
              <w:fldChar w:fldCharType="separate"/>
            </w:r>
            <w:r w:rsidRPr="00E04B87">
              <w:rPr>
                <w:noProof/>
                <w:lang w:val="fr-CA"/>
              </w:rPr>
              <w:t>[Insérer la date]</w:t>
            </w:r>
            <w:r w:rsidRPr="00E04B87">
              <w:rPr>
                <w:lang w:val="fr-CA"/>
              </w:rPr>
              <w:fldChar w:fldCharType="end"/>
            </w:r>
            <w:bookmarkEnd w:id="3"/>
          </w:p>
        </w:tc>
      </w:tr>
      <w:tr w:rsidR="00272465" w:rsidRPr="00E04B87" w14:paraId="72D6D454" w14:textId="77777777" w:rsidTr="00272465">
        <w:tc>
          <w:tcPr>
            <w:tcW w:w="5216" w:type="dxa"/>
            <w:tcBorders>
              <w:top w:val="single" w:sz="4" w:space="0" w:color="000000" w:themeColor="text1"/>
              <w:left w:val="nil"/>
              <w:bottom w:val="nil"/>
              <w:right w:val="nil"/>
            </w:tcBorders>
            <w:hideMark/>
          </w:tcPr>
          <w:p w14:paraId="240D8D47" w14:textId="77777777" w:rsidR="00272465" w:rsidRPr="00E04B87" w:rsidRDefault="00272465">
            <w:pPr>
              <w:rPr>
                <w:lang w:val="fr-CA"/>
              </w:rPr>
            </w:pPr>
            <w:bookmarkStart w:id="4" w:name="lt_pId005"/>
            <w:r w:rsidRPr="00E04B87">
              <w:rPr>
                <w:lang w:val="fr-CA"/>
              </w:rPr>
              <w:t>Directeur général</w:t>
            </w:r>
            <w:bookmarkEnd w:id="4"/>
          </w:p>
        </w:tc>
        <w:tc>
          <w:tcPr>
            <w:tcW w:w="262" w:type="dxa"/>
          </w:tcPr>
          <w:p w14:paraId="36F192D1" w14:textId="77777777" w:rsidR="00272465" w:rsidRPr="00E04B87" w:rsidRDefault="00272465">
            <w:pPr>
              <w:rPr>
                <w:lang w:val="fr-CA"/>
              </w:rPr>
            </w:pPr>
          </w:p>
        </w:tc>
        <w:tc>
          <w:tcPr>
            <w:tcW w:w="3882" w:type="dxa"/>
            <w:tcBorders>
              <w:top w:val="single" w:sz="4" w:space="0" w:color="000000" w:themeColor="text1"/>
              <w:left w:val="nil"/>
              <w:bottom w:val="nil"/>
              <w:right w:val="nil"/>
            </w:tcBorders>
            <w:hideMark/>
          </w:tcPr>
          <w:p w14:paraId="6C9A3457" w14:textId="77777777" w:rsidR="00272465" w:rsidRPr="00E04B87" w:rsidRDefault="00272465">
            <w:pPr>
              <w:rPr>
                <w:lang w:val="fr-CA"/>
              </w:rPr>
            </w:pPr>
            <w:bookmarkStart w:id="5" w:name="lt_pId006"/>
            <w:r w:rsidRPr="00E04B87">
              <w:rPr>
                <w:lang w:val="fr-CA"/>
              </w:rPr>
              <w:t>Date</w:t>
            </w:r>
            <w:bookmarkEnd w:id="5"/>
          </w:p>
        </w:tc>
      </w:tr>
    </w:tbl>
    <w:p w14:paraId="369C9BEB" w14:textId="77777777" w:rsidR="001A0819" w:rsidRPr="00E04B87" w:rsidRDefault="001A0819" w:rsidP="001A0819">
      <w:pPr>
        <w:rPr>
          <w:lang w:val="fr-CA"/>
        </w:rPr>
      </w:pPr>
    </w:p>
    <w:p w14:paraId="31165486" w14:textId="77777777" w:rsidR="007D6652" w:rsidRPr="00E04B87" w:rsidRDefault="007D6652" w:rsidP="00A04513">
      <w:pPr>
        <w:pStyle w:val="Subtitle"/>
        <w:rPr>
          <w:lang w:val="fr-CA"/>
        </w:rPr>
        <w:sectPr w:rsidR="007D6652" w:rsidRPr="00E04B87">
          <w:pgSz w:w="12240" w:h="15840"/>
          <w:pgMar w:top="1440" w:right="1080" w:bottom="1440" w:left="1800" w:header="706" w:footer="706" w:gutter="0"/>
          <w:cols w:space="708"/>
          <w:titlePg/>
        </w:sectPr>
      </w:pPr>
    </w:p>
    <w:p w14:paraId="40B55D77" w14:textId="77777777" w:rsidR="00B174DE" w:rsidRPr="00E04B87" w:rsidRDefault="00B174DE" w:rsidP="00A04513">
      <w:pPr>
        <w:pStyle w:val="Subtitle"/>
        <w:rPr>
          <w:lang w:val="fr-CA"/>
        </w:rPr>
      </w:pPr>
    </w:p>
    <w:p w14:paraId="08CF6E55" w14:textId="77777777" w:rsidR="00380AB9" w:rsidRPr="00E04B87" w:rsidRDefault="00380AB9" w:rsidP="00B174DE">
      <w:pPr>
        <w:rPr>
          <w:lang w:val="fr-CA"/>
        </w:rPr>
      </w:pPr>
    </w:p>
    <w:p w14:paraId="18C86D07" w14:textId="77777777" w:rsidR="00380AB9" w:rsidRPr="00E04B87" w:rsidRDefault="00380AB9" w:rsidP="00380AB9">
      <w:pPr>
        <w:rPr>
          <w:lang w:val="fr-CA"/>
        </w:rPr>
      </w:pPr>
    </w:p>
    <w:p w14:paraId="5C0B5738" w14:textId="77777777" w:rsidR="00380AB9" w:rsidRPr="00E04B87" w:rsidRDefault="00380AB9" w:rsidP="00A04513">
      <w:pPr>
        <w:pStyle w:val="Subtitle"/>
        <w:rPr>
          <w:lang w:val="fr-CA"/>
        </w:rPr>
      </w:pPr>
    </w:p>
    <w:p w14:paraId="3A1DE998" w14:textId="77777777" w:rsidR="00272465" w:rsidRPr="00E04B87" w:rsidRDefault="00272465" w:rsidP="00272465">
      <w:pPr>
        <w:pStyle w:val="Subtitle"/>
        <w:rPr>
          <w:lang w:val="fr-CA"/>
        </w:rPr>
      </w:pPr>
      <w:bookmarkStart w:id="6" w:name="lt_pId007"/>
      <w:r w:rsidRPr="00E04B87">
        <w:rPr>
          <w:lang w:val="fr-CA"/>
        </w:rPr>
        <w:t>Première Nation</w:t>
      </w:r>
      <w:bookmarkEnd w:id="6"/>
      <w:r w:rsidRPr="00E04B87">
        <w:rPr>
          <w:lang w:val="fr-CA"/>
        </w:rPr>
        <w:t xml:space="preserve"> </w:t>
      </w:r>
      <w:r w:rsidRPr="00E04B87">
        <w:rPr>
          <w:lang w:val="fr-CA"/>
        </w:rPr>
        <w:fldChar w:fldCharType="begin">
          <w:ffData>
            <w:name w:val="Text5"/>
            <w:enabled/>
            <w:calcOnExit w:val="0"/>
            <w:textInput>
              <w:default w:val="[               ]"/>
            </w:textInput>
          </w:ffData>
        </w:fldChar>
      </w:r>
      <w:bookmarkStart w:id="7" w:name="Text5"/>
      <w:r w:rsidRPr="00E04B87">
        <w:rPr>
          <w:lang w:val="fr-CA"/>
        </w:rPr>
        <w:instrText xml:space="preserve"> FORMTEXT </w:instrText>
      </w:r>
      <w:r w:rsidRPr="00E04B87">
        <w:rPr>
          <w:lang w:val="fr-CA"/>
        </w:rPr>
      </w:r>
      <w:r w:rsidRPr="00E04B87">
        <w:rPr>
          <w:lang w:val="fr-CA"/>
        </w:rPr>
        <w:fldChar w:fldCharType="separate"/>
      </w:r>
      <w:r w:rsidRPr="00E04B87">
        <w:rPr>
          <w:noProof/>
          <w:lang w:val="fr-CA"/>
        </w:rPr>
        <w:t>[               ]</w:t>
      </w:r>
      <w:r w:rsidRPr="00E04B87">
        <w:rPr>
          <w:lang w:val="fr-CA"/>
        </w:rPr>
        <w:fldChar w:fldCharType="end"/>
      </w:r>
      <w:bookmarkEnd w:id="7"/>
      <w:r w:rsidRPr="00E04B87">
        <w:rPr>
          <w:lang w:val="fr-CA"/>
        </w:rPr>
        <w:t xml:space="preserve"> </w:t>
      </w:r>
    </w:p>
    <w:p w14:paraId="2897356D" w14:textId="77777777" w:rsidR="00272465" w:rsidRPr="00E04B87" w:rsidRDefault="00272465" w:rsidP="00272465">
      <w:pPr>
        <w:pStyle w:val="Title"/>
        <w:rPr>
          <w:lang w:val="fr-CA"/>
        </w:rPr>
      </w:pPr>
      <w:r w:rsidRPr="00E04B87">
        <w:rPr>
          <w:lang w:val="fr-CA"/>
        </w:rPr>
        <w:t>Politique et procédures relatives à la gestion de l’information</w:t>
      </w:r>
    </w:p>
    <w:p w14:paraId="4BE95BD5" w14:textId="77777777" w:rsidR="00380AB9" w:rsidRPr="00E04B87" w:rsidRDefault="00380AB9" w:rsidP="001A0819">
      <w:pPr>
        <w:rPr>
          <w:lang w:val="fr-CA"/>
        </w:rPr>
      </w:pPr>
    </w:p>
    <w:p w14:paraId="5274CDEC" w14:textId="77777777" w:rsidR="001A0819" w:rsidRPr="00E04B87" w:rsidRDefault="001A0819" w:rsidP="001A0819">
      <w:pPr>
        <w:rPr>
          <w:lang w:val="fr-CA"/>
        </w:rPr>
      </w:pPr>
    </w:p>
    <w:p w14:paraId="660CC4E1" w14:textId="77777777" w:rsidR="001A0819" w:rsidRPr="00E04B87" w:rsidRDefault="001A0819" w:rsidP="001A0819">
      <w:pPr>
        <w:rPr>
          <w:lang w:val="fr-CA"/>
        </w:rPr>
      </w:pPr>
    </w:p>
    <w:p w14:paraId="12E9C608" w14:textId="77777777" w:rsidR="001A0819" w:rsidRPr="00E04B87" w:rsidRDefault="001A0819" w:rsidP="001A0819">
      <w:pPr>
        <w:rPr>
          <w:lang w:val="fr-CA"/>
        </w:rPr>
      </w:pPr>
    </w:p>
    <w:tbl>
      <w:tblPr>
        <w:tblStyle w:val="TableGrid"/>
        <w:tblpPr w:leftFromText="187" w:rightFromText="187" w:tblpYSpec="bottom"/>
        <w:tblOverlap w:val="never"/>
        <w:tblW w:w="0" w:type="auto"/>
        <w:tblBorders>
          <w:top w:val="single" w:sz="4" w:space="0" w:color="B2B2B2" w:themeColor="background2" w:themeShade="BF"/>
          <w:left w:val="single" w:sz="4" w:space="0" w:color="B2B2B2" w:themeColor="background2" w:themeShade="BF"/>
          <w:bottom w:val="single" w:sz="4" w:space="0" w:color="B2B2B2" w:themeColor="background2" w:themeShade="BF"/>
          <w:right w:val="single" w:sz="4" w:space="0" w:color="B2B2B2" w:themeColor="background2" w:themeShade="BF"/>
          <w:insideH w:val="none" w:sz="0" w:space="0" w:color="auto"/>
          <w:insideV w:val="none" w:sz="0" w:space="0" w:color="auto"/>
        </w:tblBorders>
        <w:shd w:val="clear" w:color="auto" w:fill="F3F3F3"/>
        <w:tblLook w:val="00A0" w:firstRow="1" w:lastRow="0" w:firstColumn="1" w:lastColumn="0" w:noHBand="0" w:noVBand="0"/>
      </w:tblPr>
      <w:tblGrid>
        <w:gridCol w:w="9350"/>
      </w:tblGrid>
      <w:tr w:rsidR="006E2A0D" w:rsidRPr="00E04B87" w14:paraId="6D90149F" w14:textId="77777777">
        <w:trPr>
          <w:cantSplit/>
        </w:trPr>
        <w:tc>
          <w:tcPr>
            <w:tcW w:w="9576" w:type="dxa"/>
            <w:shd w:val="clear" w:color="auto" w:fill="F3F3F3"/>
          </w:tcPr>
          <w:p w14:paraId="2D5ECFAA" w14:textId="77777777" w:rsidR="006E2A0D" w:rsidRPr="00E04B87" w:rsidRDefault="006E2A0D" w:rsidP="006E2A0D">
            <w:pPr>
              <w:rPr>
                <w:b/>
                <w:sz w:val="28"/>
                <w:lang w:val="fr-CA"/>
              </w:rPr>
            </w:pPr>
            <w:r w:rsidRPr="00E04B87">
              <w:rPr>
                <w:b/>
                <w:sz w:val="28"/>
                <w:lang w:val="fr-CA"/>
              </w:rPr>
              <w:t>Pour vous aider à adapter les présentes politiques à votre Première Nation :</w:t>
            </w:r>
          </w:p>
          <w:p w14:paraId="29516D6C" w14:textId="77777777" w:rsidR="006E2A0D" w:rsidRPr="00E04B87" w:rsidRDefault="006E2A0D" w:rsidP="006E2A0D">
            <w:pPr>
              <w:rPr>
                <w:lang w:val="fr-CA"/>
              </w:rPr>
            </w:pPr>
            <w:bookmarkStart w:id="8" w:name="lt_pId010"/>
            <w:r w:rsidRPr="00E04B87">
              <w:rPr>
                <w:lang w:val="fr-CA"/>
              </w:rPr>
              <w:t xml:space="preserve">Les procédures considérées comme des pratiques exemplaires qui </w:t>
            </w:r>
            <w:r w:rsidRPr="00E04B87">
              <w:rPr>
                <w:b/>
                <w:bCs/>
                <w:lang w:val="fr-CA"/>
              </w:rPr>
              <w:t xml:space="preserve">ne sont pas </w:t>
            </w:r>
            <w:r w:rsidRPr="00E04B87">
              <w:rPr>
                <w:lang w:val="fr-CA"/>
              </w:rPr>
              <w:t>explicitement</w:t>
            </w:r>
            <w:r w:rsidRPr="00E04B87">
              <w:rPr>
                <w:b/>
                <w:bCs/>
                <w:lang w:val="fr-CA"/>
              </w:rPr>
              <w:t xml:space="preserve"> </w:t>
            </w:r>
            <w:r w:rsidRPr="00E04B87">
              <w:rPr>
                <w:lang w:val="fr-CA"/>
              </w:rPr>
              <w:t xml:space="preserve">exigées pour respecter les normes du SGF ou les normes de la LAF sont en </w:t>
            </w:r>
            <w:r w:rsidRPr="00E04B87">
              <w:rPr>
                <w:b/>
                <w:color w:val="018A27" w:themeColor="accent2"/>
                <w:sz w:val="28"/>
                <w:lang w:val="fr-CA"/>
              </w:rPr>
              <w:t>vert</w:t>
            </w:r>
            <w:r w:rsidRPr="00E04B87">
              <w:rPr>
                <w:lang w:val="fr-CA"/>
              </w:rPr>
              <w:t>;</w:t>
            </w:r>
            <w:bookmarkEnd w:id="8"/>
            <w:r w:rsidRPr="00E04B87">
              <w:rPr>
                <w:lang w:val="fr-CA"/>
              </w:rPr>
              <w:t xml:space="preserve">  </w:t>
            </w:r>
          </w:p>
          <w:p w14:paraId="33DF98B5" w14:textId="77777777" w:rsidR="006E2A0D" w:rsidRPr="00E04B87" w:rsidRDefault="006E2A0D" w:rsidP="006E2A0D">
            <w:pPr>
              <w:rPr>
                <w:lang w:val="fr-CA"/>
              </w:rPr>
            </w:pPr>
            <w:bookmarkStart w:id="9" w:name="lt_pId011"/>
            <w:r w:rsidRPr="00E04B87">
              <w:rPr>
                <w:lang w:val="fr-CA"/>
              </w:rPr>
              <w:t xml:space="preserve">Les procédures exigées pour respecter les normes du CGF qui </w:t>
            </w:r>
            <w:r w:rsidRPr="00E04B87">
              <w:rPr>
                <w:b/>
                <w:bCs/>
                <w:lang w:val="fr-CA"/>
              </w:rPr>
              <w:t>pourraient</w:t>
            </w:r>
            <w:r w:rsidRPr="00E04B87">
              <w:rPr>
                <w:lang w:val="fr-CA"/>
              </w:rPr>
              <w:t xml:space="preserve"> être confiées à une autre personne que celle nommée dans le MPP sont en </w:t>
            </w:r>
            <w:r w:rsidRPr="00E04B87">
              <w:rPr>
                <w:b/>
                <w:color w:val="005FA5" w:themeColor="accent1"/>
                <w:sz w:val="28"/>
                <w:lang w:val="fr-CA"/>
              </w:rPr>
              <w:t>bleu</w:t>
            </w:r>
            <w:r w:rsidRPr="00E04B87">
              <w:rPr>
                <w:lang w:val="fr-CA"/>
              </w:rPr>
              <w:t xml:space="preserve">; </w:t>
            </w:r>
            <w:bookmarkEnd w:id="9"/>
          </w:p>
          <w:p w14:paraId="23F234BE" w14:textId="77777777" w:rsidR="006E2A0D" w:rsidRPr="00E04B87" w:rsidRDefault="006E2A0D" w:rsidP="006E2A0D">
            <w:pPr>
              <w:rPr>
                <w:lang w:val="fr-CA"/>
              </w:rPr>
            </w:pPr>
            <w:bookmarkStart w:id="10" w:name="lt_pId012"/>
            <w:r w:rsidRPr="00E04B87">
              <w:rPr>
                <w:lang w:val="fr-CA"/>
              </w:rPr>
              <w:t xml:space="preserve">Les procédures exigées pour respecter les normes du CGF qui </w:t>
            </w:r>
            <w:r w:rsidRPr="00E04B87">
              <w:rPr>
                <w:b/>
                <w:bCs/>
                <w:lang w:val="fr-CA"/>
              </w:rPr>
              <w:t>doivent</w:t>
            </w:r>
            <w:r w:rsidRPr="00E04B87">
              <w:rPr>
                <w:lang w:val="fr-CA"/>
              </w:rPr>
              <w:t xml:space="preserve"> être exécutées par la personne nommée dans le MPP sont en </w:t>
            </w:r>
            <w:r w:rsidRPr="00E04B87">
              <w:rPr>
                <w:b/>
                <w:sz w:val="28"/>
                <w:lang w:val="fr-CA"/>
              </w:rPr>
              <w:t>noir</w:t>
            </w:r>
            <w:r w:rsidRPr="00E04B87">
              <w:rPr>
                <w:lang w:val="fr-CA"/>
              </w:rPr>
              <w:t xml:space="preserve">; </w:t>
            </w:r>
            <w:bookmarkEnd w:id="10"/>
          </w:p>
          <w:p w14:paraId="1DDE2076" w14:textId="59C476E1" w:rsidR="006E2A0D" w:rsidRPr="00E04B87" w:rsidRDefault="006E2A0D" w:rsidP="006E2A0D">
            <w:pPr>
              <w:rPr>
                <w:lang w:val="fr-CA"/>
              </w:rPr>
            </w:pPr>
            <w:bookmarkStart w:id="11" w:name="lt_pId013"/>
            <w:r w:rsidRPr="00E04B87">
              <w:rPr>
                <w:highlight w:val="yellow"/>
                <w:lang w:val="fr-CA"/>
              </w:rPr>
              <w:t xml:space="preserve">Pages </w:t>
            </w:r>
            <w:r w:rsidRPr="00E04B87">
              <w:rPr>
                <w:b/>
                <w:bCs/>
                <w:highlight w:val="yellow"/>
                <w:lang w:val="fr-CA"/>
              </w:rPr>
              <w:t>nécessitant</w:t>
            </w:r>
            <w:r w:rsidRPr="00E04B87">
              <w:rPr>
                <w:highlight w:val="yellow"/>
                <w:lang w:val="fr-CA"/>
              </w:rPr>
              <w:t xml:space="preserve"> une adaptation :</w:t>
            </w:r>
            <w:r w:rsidRPr="00E04B87">
              <w:rPr>
                <w:lang w:val="fr-CA"/>
              </w:rPr>
              <w:t xml:space="preserve"> Pages contenant les autorisations et les dates, pieds de pages, toutes les pages contenant des caractères en vert et en bleu ainsi que la page </w:t>
            </w:r>
            <w:bookmarkEnd w:id="11"/>
            <w:r w:rsidR="00AB19A7" w:rsidRPr="00E04B87">
              <w:rPr>
                <w:lang w:val="fr-CA"/>
              </w:rPr>
              <w:t>25</w:t>
            </w:r>
            <w:r w:rsidRPr="00E04B87">
              <w:rPr>
                <w:lang w:val="fr-CA"/>
              </w:rPr>
              <w:t>.</w:t>
            </w:r>
          </w:p>
        </w:tc>
      </w:tr>
      <w:tr w:rsidR="006E2A0D" w:rsidRPr="00E04B87" w14:paraId="40664971" w14:textId="77777777">
        <w:trPr>
          <w:cantSplit/>
        </w:trPr>
        <w:tc>
          <w:tcPr>
            <w:tcW w:w="9576" w:type="dxa"/>
            <w:shd w:val="clear" w:color="auto" w:fill="F3F3F3"/>
          </w:tcPr>
          <w:p w14:paraId="4B741C16" w14:textId="77777777" w:rsidR="006E2A0D" w:rsidRPr="00E04B87" w:rsidRDefault="006E2A0D" w:rsidP="006E2A0D">
            <w:pPr>
              <w:rPr>
                <w:lang w:val="fr-CA"/>
              </w:rPr>
            </w:pPr>
            <w:bookmarkStart w:id="12" w:name="lt_pId014"/>
            <w:r w:rsidRPr="00E04B87">
              <w:rPr>
                <w:b/>
                <w:lang w:val="fr-CA"/>
              </w:rPr>
              <w:t>Date de publication du modèle de politique et de procédures :</w:t>
            </w:r>
            <w:r w:rsidRPr="00E04B87">
              <w:rPr>
                <w:lang w:val="fr-CA"/>
              </w:rPr>
              <w:t xml:space="preserve"> </w:t>
            </w:r>
            <w:bookmarkEnd w:id="12"/>
            <w:r w:rsidRPr="00E04B87">
              <w:rPr>
                <w:lang w:val="fr-CA"/>
              </w:rPr>
              <w:t>1</w:t>
            </w:r>
            <w:r w:rsidRPr="00E04B87">
              <w:rPr>
                <w:vertAlign w:val="superscript"/>
                <w:lang w:val="fr-CA"/>
              </w:rPr>
              <w:t>er</w:t>
            </w:r>
            <w:r w:rsidRPr="00E04B87">
              <w:rPr>
                <w:lang w:val="fr-CA"/>
              </w:rPr>
              <w:t xml:space="preserve"> avril 2019</w:t>
            </w:r>
          </w:p>
        </w:tc>
      </w:tr>
      <w:tr w:rsidR="006E2A0D" w:rsidRPr="00E04B87" w14:paraId="68B1BA5B" w14:textId="77777777">
        <w:trPr>
          <w:cantSplit/>
        </w:trPr>
        <w:tc>
          <w:tcPr>
            <w:tcW w:w="9576" w:type="dxa"/>
            <w:shd w:val="clear" w:color="auto" w:fill="F3F3F3"/>
          </w:tcPr>
          <w:p w14:paraId="2F1C3889" w14:textId="77777777" w:rsidR="006E2A0D" w:rsidRPr="00E04B87" w:rsidRDefault="006E2A0D" w:rsidP="006E2A0D">
            <w:pPr>
              <w:rPr>
                <w:i/>
                <w:sz w:val="20"/>
                <w:lang w:val="fr-CA"/>
              </w:rPr>
            </w:pPr>
            <w:bookmarkStart w:id="13" w:name="lt_pId015"/>
            <w:r w:rsidRPr="00E04B87">
              <w:rPr>
                <w:b/>
                <w:i/>
                <w:sz w:val="20"/>
                <w:lang w:val="fr-CA"/>
              </w:rPr>
              <w:t xml:space="preserve">Remarque : </w:t>
            </w:r>
            <w:r w:rsidRPr="00E04B87">
              <w:rPr>
                <w:i/>
                <w:sz w:val="20"/>
                <w:lang w:val="fr-CA"/>
              </w:rPr>
              <w:t xml:space="preserve">Consultez notre site Web, à l’adresse </w:t>
            </w:r>
            <w:hyperlink r:id="rId11" w:history="1">
              <w:r w:rsidRPr="00E04B87">
                <w:rPr>
                  <w:rStyle w:val="Hyperlink"/>
                  <w:i/>
                  <w:sz w:val="20"/>
                  <w:lang w:val="fr-CA"/>
                </w:rPr>
                <w:t>www.fnfmb.com</w:t>
              </w:r>
            </w:hyperlink>
            <w:r w:rsidRPr="00E04B87">
              <w:rPr>
                <w:i/>
                <w:sz w:val="20"/>
                <w:lang w:val="fr-CA"/>
              </w:rPr>
              <w:t>, pour vous assurer que la date de publication du MPP figurant ci-dessus correspond à la version la plus récente.</w:t>
            </w:r>
            <w:bookmarkEnd w:id="13"/>
          </w:p>
        </w:tc>
      </w:tr>
    </w:tbl>
    <w:p w14:paraId="0547260E" w14:textId="77777777" w:rsidR="001A0819" w:rsidRPr="00E04B87" w:rsidRDefault="001A0819" w:rsidP="001A0819">
      <w:pPr>
        <w:rPr>
          <w:lang w:val="fr-CA"/>
        </w:rPr>
      </w:pPr>
    </w:p>
    <w:p w14:paraId="158B9745" w14:textId="77777777" w:rsidR="001A0819" w:rsidRPr="00E04B87" w:rsidRDefault="001A0819" w:rsidP="001A0819">
      <w:pPr>
        <w:rPr>
          <w:lang w:val="fr-CA"/>
        </w:rPr>
      </w:pPr>
    </w:p>
    <w:p w14:paraId="2736DDAD" w14:textId="77777777" w:rsidR="001A0819" w:rsidRPr="00E04B87" w:rsidRDefault="001A0819" w:rsidP="001A0819">
      <w:pPr>
        <w:rPr>
          <w:lang w:val="fr-CA"/>
        </w:rPr>
      </w:pPr>
    </w:p>
    <w:p w14:paraId="7EE304BE" w14:textId="77777777" w:rsidR="007D6652" w:rsidRPr="00E04B87" w:rsidRDefault="007D6652" w:rsidP="001A0819">
      <w:pPr>
        <w:rPr>
          <w:lang w:val="fr-CA"/>
        </w:rPr>
        <w:sectPr w:rsidR="007D6652" w:rsidRPr="00E04B87">
          <w:pgSz w:w="12240" w:h="15840"/>
          <w:pgMar w:top="1440" w:right="1080" w:bottom="1440" w:left="1800" w:header="706" w:footer="706" w:gutter="0"/>
          <w:cols w:space="708"/>
          <w:titlePg/>
        </w:sectPr>
      </w:pPr>
    </w:p>
    <w:p w14:paraId="6639F77D" w14:textId="77777777" w:rsidR="00324936" w:rsidRPr="00E04B87" w:rsidRDefault="00324936" w:rsidP="00324936">
      <w:pPr>
        <w:pStyle w:val="14ptCAPS"/>
        <w:spacing w:before="0" w:line="240" w:lineRule="atLeast"/>
        <w:rPr>
          <w:sz w:val="24"/>
          <w:lang w:val="fr-CA"/>
        </w:rPr>
      </w:pPr>
      <w:r w:rsidRPr="00E04B87">
        <w:rPr>
          <w:sz w:val="24"/>
          <w:lang w:val="fr-CA"/>
        </w:rPr>
        <w:lastRenderedPageBreak/>
        <w:t>AVIS AUX UTILISATEURS</w:t>
      </w:r>
    </w:p>
    <w:p w14:paraId="58D86A06" w14:textId="1A8D09E3" w:rsidR="00324936" w:rsidRPr="00E04B87" w:rsidRDefault="00324936" w:rsidP="00324936">
      <w:pPr>
        <w:spacing w:line="240" w:lineRule="atLeast"/>
        <w:rPr>
          <w:sz w:val="19"/>
          <w:lang w:val="fr-CA"/>
        </w:rPr>
      </w:pPr>
      <w:bookmarkStart w:id="14" w:name="lt_pId018"/>
      <w:r w:rsidRPr="00E04B87">
        <w:rPr>
          <w:sz w:val="19"/>
          <w:lang w:val="fr-CA"/>
        </w:rPr>
        <w:t xml:space="preserve">Le présent document constitue un modèle de politique et de procédures (le « MPP ») respectant les exigences des </w:t>
      </w:r>
      <w:r w:rsidR="006521DD" w:rsidRPr="00E04B87">
        <w:rPr>
          <w:i/>
          <w:iCs/>
          <w:sz w:val="19"/>
          <w:lang w:val="fr-CA"/>
        </w:rPr>
        <w:t>Normes relatives au système de gestion financière</w:t>
      </w:r>
      <w:r w:rsidRPr="00E04B87">
        <w:rPr>
          <w:sz w:val="19"/>
          <w:lang w:val="fr-CA"/>
        </w:rPr>
        <w:t xml:space="preserve"> (les « normes du SGF ») et des </w:t>
      </w:r>
      <w:r w:rsidR="006521DD" w:rsidRPr="00E04B87">
        <w:rPr>
          <w:i/>
          <w:iCs/>
          <w:sz w:val="19"/>
          <w:lang w:val="fr-CA"/>
        </w:rPr>
        <w:t>Normes relatives à la Loi sur l’administration financière</w:t>
      </w:r>
      <w:r w:rsidRPr="00E04B87">
        <w:rPr>
          <w:sz w:val="19"/>
          <w:lang w:val="fr-CA"/>
        </w:rPr>
        <w:t xml:space="preserve"> (les « normes de la LAF ») établies par le Conseil de gestion financière des Premières Nations (le « CGF ») en vertu de la </w:t>
      </w:r>
      <w:r w:rsidRPr="00E04B87">
        <w:rPr>
          <w:i/>
          <w:iCs/>
          <w:sz w:val="19"/>
          <w:lang w:val="fr-CA"/>
        </w:rPr>
        <w:t>Loi sur la gestion financière des premières nations</w:t>
      </w:r>
      <w:r w:rsidRPr="00E04B87">
        <w:rPr>
          <w:sz w:val="19"/>
          <w:lang w:val="fr-CA"/>
        </w:rPr>
        <w:t xml:space="preserve"> (la « LGF »).</w:t>
      </w:r>
      <w:bookmarkEnd w:id="14"/>
      <w:r w:rsidRPr="00E04B87">
        <w:rPr>
          <w:sz w:val="19"/>
          <w:lang w:val="fr-CA"/>
        </w:rPr>
        <w:t xml:space="preserve"> </w:t>
      </w:r>
      <w:bookmarkStart w:id="15" w:name="lt_pId019"/>
      <w:r w:rsidRPr="00E04B87">
        <w:rPr>
          <w:sz w:val="19"/>
          <w:lang w:val="fr-CA"/>
        </w:rPr>
        <w:t>Cette politique et ces procédures sont également conformes aux dispositions du modèle de Loi sur l’administration financière (le « modèle de LAF ») publié par le CGF.</w:t>
      </w:r>
      <w:bookmarkEnd w:id="15"/>
      <w:r w:rsidRPr="00E04B87">
        <w:rPr>
          <w:sz w:val="19"/>
          <w:lang w:val="fr-CA"/>
        </w:rPr>
        <w:t xml:space="preserve"> </w:t>
      </w:r>
      <w:bookmarkStart w:id="16" w:name="lt_pId022"/>
      <w:r w:rsidRPr="00E04B87">
        <w:rPr>
          <w:sz w:val="19"/>
          <w:lang w:val="fr-CA"/>
        </w:rPr>
        <w:t>Le modèle de LAF est un exemple de loi qui respecte les exigences des normes de la LAF. Plusieurs versions des lois peuvent également respecter les normes de la LAF. Bien que le présent MPP soit fondé sur le modèle de LAF, il doit être adapté aux circonstances particulières de votre Première Nation ainsi qu’à votre loi.</w:t>
      </w:r>
      <w:bookmarkEnd w:id="16"/>
    </w:p>
    <w:p w14:paraId="01684C70" w14:textId="77777777" w:rsidR="00324936" w:rsidRPr="00E04B87" w:rsidRDefault="00324936" w:rsidP="00324936">
      <w:pPr>
        <w:spacing w:line="240" w:lineRule="atLeast"/>
        <w:rPr>
          <w:sz w:val="19"/>
          <w:lang w:val="fr-CA"/>
        </w:rPr>
      </w:pPr>
      <w:bookmarkStart w:id="17" w:name="lt_pId024"/>
      <w:r w:rsidRPr="00E04B87">
        <w:rPr>
          <w:sz w:val="19"/>
          <w:lang w:val="fr-CA"/>
        </w:rPr>
        <w:t xml:space="preserve">Le présent MPP fait partie d’une série de modèles de politiques élaborés par le CGF pour aider les Premières Nations à se conformer aux lois sur l’administration financière. Ces modèles ainsi que d’autres documents modèles peuvent être téléchargés gratuitement à partir du site Web du CGF, à l’adresse </w:t>
      </w:r>
      <w:hyperlink r:id="rId12" w:history="1">
        <w:r w:rsidRPr="00E04B87">
          <w:rPr>
            <w:rStyle w:val="Hyperlink"/>
            <w:sz w:val="19"/>
            <w:lang w:val="fr-CA"/>
          </w:rPr>
          <w:t>www.fnfmb.com</w:t>
        </w:r>
      </w:hyperlink>
      <w:r w:rsidRPr="00E04B87">
        <w:rPr>
          <w:sz w:val="19"/>
          <w:lang w:val="fr-CA"/>
        </w:rPr>
        <w:t>.</w:t>
      </w:r>
      <w:bookmarkEnd w:id="17"/>
    </w:p>
    <w:p w14:paraId="19491984" w14:textId="77777777" w:rsidR="00324936" w:rsidRPr="00E04B87" w:rsidRDefault="00324936" w:rsidP="00324936">
      <w:pPr>
        <w:pStyle w:val="14ptCAPS"/>
        <w:spacing w:line="240" w:lineRule="atLeast"/>
        <w:rPr>
          <w:sz w:val="24"/>
          <w:lang w:val="fr-CA"/>
        </w:rPr>
      </w:pPr>
      <w:bookmarkStart w:id="18" w:name="lt_pId025"/>
      <w:r w:rsidRPr="00E04B87">
        <w:rPr>
          <w:sz w:val="24"/>
          <w:lang w:val="fr-CA"/>
        </w:rPr>
        <w:t>FORMAT ET STRUCTURE</w:t>
      </w:r>
      <w:bookmarkEnd w:id="18"/>
      <w:r w:rsidRPr="00E04B87">
        <w:rPr>
          <w:sz w:val="24"/>
          <w:lang w:val="fr-CA"/>
        </w:rPr>
        <w:t xml:space="preserve"> </w:t>
      </w:r>
    </w:p>
    <w:p w14:paraId="2464929B" w14:textId="77777777" w:rsidR="00324936" w:rsidRPr="00E04B87" w:rsidRDefault="00324936" w:rsidP="00324936">
      <w:pPr>
        <w:spacing w:line="240" w:lineRule="atLeast"/>
        <w:rPr>
          <w:sz w:val="19"/>
          <w:lang w:val="fr-CA"/>
        </w:rPr>
      </w:pPr>
      <w:r w:rsidRPr="00E04B87">
        <w:rPr>
          <w:sz w:val="19"/>
          <w:lang w:val="fr-CA"/>
        </w:rPr>
        <w:t>Les modèles de politiques et de procédures élaborés par le CGF sont exprimés dans un format standard décrit ci</w:t>
      </w:r>
      <w:r w:rsidRPr="00E04B87">
        <w:rPr>
          <w:sz w:val="19"/>
          <w:lang w:val="fr-CA"/>
        </w:rPr>
        <w:noBreakHyphen/>
        <w:t>après.</w:t>
      </w:r>
    </w:p>
    <w:p w14:paraId="41590562" w14:textId="77777777" w:rsidR="00324936" w:rsidRPr="00E04B87" w:rsidRDefault="00324936" w:rsidP="00324936">
      <w:pPr>
        <w:spacing w:line="240" w:lineRule="atLeast"/>
        <w:rPr>
          <w:b/>
          <w:sz w:val="20"/>
          <w:lang w:val="fr-CA"/>
        </w:rPr>
      </w:pPr>
      <w:r w:rsidRPr="00E04B87">
        <w:rPr>
          <w:b/>
          <w:sz w:val="20"/>
          <w:lang w:val="fr-CA"/>
        </w:rPr>
        <w:t>POLITIQUE</w:t>
      </w:r>
    </w:p>
    <w:p w14:paraId="0F306439" w14:textId="77777777" w:rsidR="00324936" w:rsidRPr="00E04B87" w:rsidRDefault="00324936" w:rsidP="00324936">
      <w:pPr>
        <w:spacing w:line="240" w:lineRule="atLeast"/>
        <w:rPr>
          <w:sz w:val="19"/>
          <w:lang w:val="fr-CA"/>
        </w:rPr>
      </w:pPr>
      <w:bookmarkStart w:id="19" w:name="lt_pId028"/>
      <w:r w:rsidRPr="00E04B87">
        <w:rPr>
          <w:b/>
          <w:sz w:val="19"/>
          <w:lang w:val="fr-CA"/>
        </w:rPr>
        <w:t>Énoncé de politique</w:t>
      </w:r>
      <w:r w:rsidRPr="00E04B87">
        <w:rPr>
          <w:sz w:val="19"/>
          <w:lang w:val="fr-CA"/>
        </w:rPr>
        <w:t xml:space="preserve"> – Énoncé clair indiquant le protocole ou les règles de la Première Nation à l’égard d’un domaine particulier.</w:t>
      </w:r>
      <w:bookmarkEnd w:id="19"/>
      <w:r w:rsidRPr="00E04B87">
        <w:rPr>
          <w:sz w:val="19"/>
          <w:lang w:val="fr-CA"/>
        </w:rPr>
        <w:t xml:space="preserve"> </w:t>
      </w:r>
    </w:p>
    <w:p w14:paraId="4E8191CF" w14:textId="77777777" w:rsidR="00324936" w:rsidRPr="00E04B87" w:rsidRDefault="00324936" w:rsidP="00324936">
      <w:pPr>
        <w:spacing w:line="240" w:lineRule="atLeast"/>
        <w:rPr>
          <w:sz w:val="19"/>
          <w:lang w:val="fr-CA"/>
        </w:rPr>
      </w:pPr>
      <w:bookmarkStart w:id="20" w:name="lt_pId029"/>
      <w:r w:rsidRPr="00E04B87">
        <w:rPr>
          <w:b/>
          <w:sz w:val="19"/>
          <w:lang w:val="fr-CA"/>
        </w:rPr>
        <w:t>Objectif</w:t>
      </w:r>
      <w:r w:rsidRPr="00E04B87">
        <w:rPr>
          <w:sz w:val="19"/>
          <w:lang w:val="fr-CA"/>
        </w:rPr>
        <w:t xml:space="preserve"> – Motif ou raisonnement à l’origine de la politique et des procédures.</w:t>
      </w:r>
      <w:bookmarkEnd w:id="20"/>
    </w:p>
    <w:p w14:paraId="5BC38764" w14:textId="77777777" w:rsidR="00324936" w:rsidRPr="00E04B87" w:rsidRDefault="00324936" w:rsidP="00324936">
      <w:pPr>
        <w:spacing w:line="240" w:lineRule="atLeast"/>
        <w:rPr>
          <w:sz w:val="19"/>
          <w:lang w:val="fr-CA"/>
        </w:rPr>
      </w:pPr>
      <w:bookmarkStart w:id="21" w:name="lt_pId030"/>
      <w:r w:rsidRPr="00E04B87">
        <w:rPr>
          <w:b/>
          <w:sz w:val="19"/>
          <w:lang w:val="fr-CA"/>
        </w:rPr>
        <w:t>Portée et application</w:t>
      </w:r>
      <w:r w:rsidRPr="00E04B87">
        <w:rPr>
          <w:sz w:val="19"/>
          <w:lang w:val="fr-CA"/>
        </w:rPr>
        <w:t xml:space="preserve"> – Domaines, fonctions, personnes ou secteurs d’activité touchés par la politique.</w:t>
      </w:r>
      <w:bookmarkEnd w:id="21"/>
    </w:p>
    <w:p w14:paraId="772DF552" w14:textId="77777777" w:rsidR="00324936" w:rsidRPr="00E04B87" w:rsidRDefault="00324936" w:rsidP="00324936">
      <w:pPr>
        <w:spacing w:line="240" w:lineRule="atLeast"/>
        <w:rPr>
          <w:sz w:val="19"/>
          <w:lang w:val="fr-CA"/>
        </w:rPr>
      </w:pPr>
      <w:bookmarkStart w:id="22" w:name="lt_pId031"/>
      <w:r w:rsidRPr="00E04B87">
        <w:rPr>
          <w:b/>
          <w:sz w:val="19"/>
          <w:lang w:val="fr-CA"/>
        </w:rPr>
        <w:t>Définitions</w:t>
      </w:r>
      <w:r w:rsidRPr="00E04B87">
        <w:rPr>
          <w:sz w:val="19"/>
          <w:lang w:val="fr-CA"/>
        </w:rPr>
        <w:t xml:space="preserve"> </w:t>
      </w:r>
      <w:bookmarkEnd w:id="22"/>
      <w:r w:rsidRPr="00E04B87">
        <w:rPr>
          <w:sz w:val="19"/>
          <w:lang w:val="fr-CA"/>
        </w:rPr>
        <w:t>– Termes spécialisés non définis autrement.</w:t>
      </w:r>
    </w:p>
    <w:p w14:paraId="39293D81" w14:textId="77777777" w:rsidR="00324936" w:rsidRPr="00E04B87" w:rsidRDefault="00324936" w:rsidP="00324936">
      <w:pPr>
        <w:spacing w:line="240" w:lineRule="atLeast"/>
        <w:rPr>
          <w:sz w:val="19"/>
          <w:lang w:val="fr-CA"/>
        </w:rPr>
      </w:pPr>
      <w:bookmarkStart w:id="23" w:name="lt_pId032"/>
      <w:r w:rsidRPr="00E04B87">
        <w:rPr>
          <w:b/>
          <w:sz w:val="19"/>
          <w:lang w:val="fr-CA"/>
        </w:rPr>
        <w:t>Responsabilités</w:t>
      </w:r>
      <w:r w:rsidRPr="00E04B87">
        <w:rPr>
          <w:sz w:val="19"/>
          <w:lang w:val="fr-CA"/>
        </w:rPr>
        <w:t xml:space="preserve"> – Désignation des personnes, au moyen de titres génériques ou de fonctions utilisés dans les normes du CGF, responsables de la mise en œuvre et du maintien de la politique et des procédures.</w:t>
      </w:r>
      <w:bookmarkEnd w:id="23"/>
    </w:p>
    <w:p w14:paraId="7E295B4C" w14:textId="77777777" w:rsidR="00324936" w:rsidRPr="00E04B87" w:rsidRDefault="00324936" w:rsidP="00324936">
      <w:pPr>
        <w:spacing w:before="320" w:line="240" w:lineRule="atLeast"/>
        <w:rPr>
          <w:b/>
          <w:sz w:val="20"/>
          <w:lang w:val="fr-CA"/>
        </w:rPr>
      </w:pPr>
      <w:r w:rsidRPr="00E04B87">
        <w:rPr>
          <w:b/>
          <w:sz w:val="20"/>
          <w:lang w:val="fr-CA"/>
        </w:rPr>
        <w:t>PROCÉDURES ADMINISTRATIVES</w:t>
      </w:r>
    </w:p>
    <w:p w14:paraId="13A05FDC" w14:textId="77777777" w:rsidR="00324936" w:rsidRPr="00E04B87" w:rsidRDefault="00324936" w:rsidP="00324936">
      <w:pPr>
        <w:spacing w:line="240" w:lineRule="atLeast"/>
        <w:rPr>
          <w:sz w:val="19"/>
          <w:lang w:val="fr-CA"/>
        </w:rPr>
      </w:pPr>
      <w:bookmarkStart w:id="24" w:name="lt_pId034"/>
      <w:r w:rsidRPr="00E04B87">
        <w:rPr>
          <w:b/>
          <w:sz w:val="19"/>
          <w:lang w:val="fr-CA"/>
        </w:rPr>
        <w:t>Procédures</w:t>
      </w:r>
      <w:r w:rsidRPr="00E04B87">
        <w:rPr>
          <w:sz w:val="19"/>
          <w:lang w:val="fr-CA"/>
        </w:rPr>
        <w:t xml:space="preserve"> – Description des étapes, des détails ou des méthodes permettant de mettre en œuvre et de maintenir la politique et les procédures.</w:t>
      </w:r>
      <w:bookmarkEnd w:id="24"/>
    </w:p>
    <w:p w14:paraId="0A8A281B" w14:textId="77777777" w:rsidR="00324936" w:rsidRPr="00E04B87" w:rsidRDefault="00324936" w:rsidP="00324936">
      <w:pPr>
        <w:spacing w:line="240" w:lineRule="atLeast"/>
        <w:rPr>
          <w:sz w:val="19"/>
          <w:lang w:val="fr-CA"/>
        </w:rPr>
      </w:pPr>
      <w:bookmarkStart w:id="25" w:name="lt_pId035"/>
      <w:r w:rsidRPr="00E04B87">
        <w:rPr>
          <w:b/>
          <w:sz w:val="19"/>
          <w:lang w:val="fr-CA"/>
        </w:rPr>
        <w:t>Références</w:t>
      </w:r>
      <w:r w:rsidRPr="00E04B87">
        <w:rPr>
          <w:sz w:val="19"/>
          <w:lang w:val="fr-CA"/>
        </w:rPr>
        <w:t xml:space="preserve"> – Liste des documents, politiques, lois, règlements, etc. applicables utilisés pour élaborer la politique ou exerçant une influence sur cette dernière.</w:t>
      </w:r>
      <w:bookmarkEnd w:id="25"/>
    </w:p>
    <w:p w14:paraId="71315B96" w14:textId="77777777" w:rsidR="00324936" w:rsidRPr="00E04B87" w:rsidRDefault="00324936" w:rsidP="00324936">
      <w:pPr>
        <w:spacing w:line="240" w:lineRule="atLeast"/>
        <w:rPr>
          <w:sz w:val="19"/>
          <w:lang w:val="fr-CA"/>
        </w:rPr>
      </w:pPr>
      <w:bookmarkStart w:id="26" w:name="lt_pId036"/>
      <w:r w:rsidRPr="00E04B87">
        <w:rPr>
          <w:b/>
          <w:sz w:val="19"/>
          <w:lang w:val="fr-CA"/>
        </w:rPr>
        <w:t>Pièces jointes</w:t>
      </w:r>
      <w:r w:rsidRPr="00E04B87">
        <w:rPr>
          <w:sz w:val="19"/>
          <w:lang w:val="fr-CA"/>
        </w:rPr>
        <w:t xml:space="preserve"> – Formulaires, rapports ou documents émanant de la politique.</w:t>
      </w:r>
      <w:bookmarkEnd w:id="26"/>
      <w:r w:rsidRPr="00E04B87">
        <w:rPr>
          <w:sz w:val="19"/>
          <w:lang w:val="fr-CA"/>
        </w:rPr>
        <w:t xml:space="preserve"> </w:t>
      </w:r>
    </w:p>
    <w:p w14:paraId="0D938A26" w14:textId="1E210845" w:rsidR="00324936" w:rsidRPr="00E04B87" w:rsidRDefault="00324936" w:rsidP="00324936">
      <w:pPr>
        <w:spacing w:line="240" w:lineRule="atLeast"/>
        <w:rPr>
          <w:sz w:val="19"/>
          <w:lang w:val="fr-CA"/>
        </w:rPr>
      </w:pPr>
      <w:bookmarkStart w:id="27" w:name="lt_pId037"/>
      <w:r w:rsidRPr="00E04B87">
        <w:rPr>
          <w:b/>
          <w:sz w:val="19"/>
          <w:lang w:val="fr-CA"/>
        </w:rPr>
        <w:t xml:space="preserve">AVIS DE NON-RESPONSABILITÉ : </w:t>
      </w:r>
      <w:bookmarkStart w:id="28" w:name="lt_pId039"/>
      <w:bookmarkEnd w:id="27"/>
      <w:r w:rsidRPr="00E04B87">
        <w:rPr>
          <w:sz w:val="19"/>
          <w:lang w:val="fr-CA"/>
        </w:rPr>
        <w:t xml:space="preserve">Bien que le CGF n’ait ménagé aucun effort pour élaborer des politiques et des procédures pouvant servir à un grand nombre de Premières Nations, il décline toute responsabilité à l’égard de l’exactitude ou de l’exhaustivité du contenu du présent MPP ou de sa pertinence pour une Première Nation en particulier. Le présent MPP a été élaboré de manière à être conforme aux exigences des </w:t>
      </w:r>
      <w:r w:rsidR="006521DD" w:rsidRPr="00E04B87">
        <w:rPr>
          <w:i/>
          <w:iCs/>
          <w:sz w:val="19"/>
          <w:lang w:val="fr-CA"/>
        </w:rPr>
        <w:t>Normes relatives au système de gestion financière</w:t>
      </w:r>
      <w:r w:rsidRPr="00E04B87">
        <w:rPr>
          <w:sz w:val="19"/>
          <w:lang w:val="fr-CA"/>
        </w:rPr>
        <w:t xml:space="preserve"> et des </w:t>
      </w:r>
      <w:r w:rsidR="006521DD" w:rsidRPr="00E04B87">
        <w:rPr>
          <w:i/>
          <w:iCs/>
          <w:sz w:val="19"/>
          <w:lang w:val="fr-CA"/>
        </w:rPr>
        <w:t>Normes relatives à la Loi sur l’administration financière</w:t>
      </w:r>
      <w:r w:rsidRPr="00E04B87">
        <w:rPr>
          <w:sz w:val="19"/>
          <w:lang w:val="fr-CA"/>
        </w:rPr>
        <w:t xml:space="preserve"> du CGF, à la date de publication figurant sur la page couverture du présent document. Les utilisateurs reconnaissent que les normes du CGF et la LGF, en vertu de laquelle ces normes ont été établies, peuvent occasionnellement faire l’objet de révisions et que, par conséquent, il est recommandé aux utilisateurs envisageant l’adoption du présent MPP de consulter le site Web du CGF pour en obtenir la version la plus récente.</w:t>
      </w:r>
      <w:bookmarkEnd w:id="28"/>
      <w:r w:rsidRPr="00E04B87">
        <w:rPr>
          <w:sz w:val="19"/>
          <w:lang w:val="fr-CA"/>
        </w:rPr>
        <w:t xml:space="preserve"> </w:t>
      </w:r>
    </w:p>
    <w:p w14:paraId="702782A2" w14:textId="77777777" w:rsidR="00324936" w:rsidRPr="00E04B87" w:rsidRDefault="00324936" w:rsidP="00324936">
      <w:pPr>
        <w:spacing w:line="240" w:lineRule="atLeast"/>
        <w:rPr>
          <w:sz w:val="19"/>
          <w:lang w:val="fr-CA"/>
        </w:rPr>
      </w:pPr>
      <w:r w:rsidRPr="00E04B87">
        <w:rPr>
          <w:sz w:val="19"/>
          <w:lang w:val="fr-CA"/>
        </w:rPr>
        <w:lastRenderedPageBreak/>
        <w:t>Le présent MPP ne doit pas être considéré autrement que comme un exemple. Le CGF décline toute responsabilité relative à tout dommage causé par l’utilisation, l’adaptation ou la mise en œuvre du présent MPP ou en découlant. Les Premières Nations utilisant le présent MPP sont entièrement responsables de veiller à ce que leurs propres politiques et procédures répondent aux besoins et aux exigences de leur Première Nation.</w:t>
      </w:r>
    </w:p>
    <w:p w14:paraId="36CB6ED9" w14:textId="77777777" w:rsidR="00324936" w:rsidRPr="00E04B87" w:rsidRDefault="00324936" w:rsidP="00324936">
      <w:pPr>
        <w:spacing w:line="240" w:lineRule="atLeast"/>
        <w:rPr>
          <w:sz w:val="19"/>
          <w:lang w:val="fr-CA"/>
        </w:rPr>
      </w:pPr>
      <w:r w:rsidRPr="00E04B87">
        <w:rPr>
          <w:sz w:val="19"/>
          <w:lang w:val="fr-CA"/>
        </w:rPr>
        <w:t>Remarque : Dans le présent document, les mots au singulier s’entendent également du pluriel et vice versa, et les mots au masculin s’entendent également du féminin et vice versa.</w:t>
      </w:r>
    </w:p>
    <w:p w14:paraId="3568472F" w14:textId="77777777" w:rsidR="001A0819" w:rsidRPr="00E04B87" w:rsidRDefault="00324936" w:rsidP="00324936">
      <w:pPr>
        <w:pStyle w:val="18ptheading"/>
        <w:rPr>
          <w:lang w:val="fr-CA"/>
        </w:rPr>
      </w:pPr>
      <w:r w:rsidRPr="00E04B87">
        <w:rPr>
          <w:lang w:val="fr-CA"/>
        </w:rPr>
        <w:br w:type="page"/>
      </w:r>
      <w:r w:rsidRPr="00E04B87">
        <w:rPr>
          <w:lang w:val="fr-CA"/>
        </w:rPr>
        <w:lastRenderedPageBreak/>
        <w:t>TABLE DES MATIÈRES</w:t>
      </w:r>
    </w:p>
    <w:p w14:paraId="40BBF4DE" w14:textId="238102FC" w:rsidR="00F341E9" w:rsidRPr="00E04B87" w:rsidRDefault="00E51E29">
      <w:pPr>
        <w:pStyle w:val="TOC1"/>
        <w:rPr>
          <w:rFonts w:eastAsiaTheme="minorEastAsia"/>
          <w:caps w:val="0"/>
          <w:sz w:val="22"/>
          <w:szCs w:val="22"/>
          <w:lang w:val="fr-CA" w:eastAsia="fr-CA"/>
        </w:rPr>
      </w:pPr>
      <w:r w:rsidRPr="00E04B87">
        <w:rPr>
          <w:caps w:val="0"/>
          <w:lang w:val="fr-CA"/>
        </w:rPr>
        <w:fldChar w:fldCharType="begin"/>
      </w:r>
      <w:r w:rsidR="00EA2389" w:rsidRPr="00E04B87">
        <w:rPr>
          <w:caps w:val="0"/>
          <w:lang w:val="fr-CA"/>
        </w:rPr>
        <w:instrText xml:space="preserve"> TOC \o "1-2" </w:instrText>
      </w:r>
      <w:r w:rsidRPr="00E04B87">
        <w:rPr>
          <w:caps w:val="0"/>
          <w:lang w:val="fr-CA"/>
        </w:rPr>
        <w:fldChar w:fldCharType="separate"/>
      </w:r>
      <w:r w:rsidR="00F341E9" w:rsidRPr="00E04B87">
        <w:rPr>
          <w:lang w:val="fr-CA"/>
        </w:rPr>
        <w:t>1.</w:t>
      </w:r>
      <w:r w:rsidR="00F341E9" w:rsidRPr="00E04B87">
        <w:rPr>
          <w:rFonts w:eastAsiaTheme="minorEastAsia"/>
          <w:caps w:val="0"/>
          <w:sz w:val="22"/>
          <w:szCs w:val="22"/>
          <w:lang w:val="fr-CA" w:eastAsia="fr-CA"/>
        </w:rPr>
        <w:tab/>
      </w:r>
      <w:r w:rsidR="00F341E9" w:rsidRPr="00E04B87">
        <w:rPr>
          <w:lang w:val="fr-CA"/>
        </w:rPr>
        <w:t>DÉFINITIONS</w:t>
      </w:r>
      <w:r w:rsidR="00F341E9" w:rsidRPr="00E04B87">
        <w:rPr>
          <w:lang w:val="fr-CA"/>
        </w:rPr>
        <w:tab/>
      </w:r>
      <w:r w:rsidR="00F341E9" w:rsidRPr="00E04B87">
        <w:rPr>
          <w:lang w:val="fr-CA"/>
        </w:rPr>
        <w:fldChar w:fldCharType="begin"/>
      </w:r>
      <w:r w:rsidR="00F341E9" w:rsidRPr="00E04B87">
        <w:rPr>
          <w:lang w:val="fr-CA"/>
        </w:rPr>
        <w:instrText xml:space="preserve"> PAGEREF _Toc17376435 \h </w:instrText>
      </w:r>
      <w:r w:rsidR="00F341E9" w:rsidRPr="00E04B87">
        <w:rPr>
          <w:lang w:val="fr-CA"/>
        </w:rPr>
      </w:r>
      <w:r w:rsidR="00F341E9" w:rsidRPr="00E04B87">
        <w:rPr>
          <w:lang w:val="fr-CA"/>
        </w:rPr>
        <w:fldChar w:fldCharType="separate"/>
      </w:r>
      <w:r w:rsidR="000B7184">
        <w:rPr>
          <w:lang w:val="fr-CA"/>
        </w:rPr>
        <w:t>4</w:t>
      </w:r>
      <w:r w:rsidR="00F341E9" w:rsidRPr="00E04B87">
        <w:rPr>
          <w:lang w:val="fr-CA"/>
        </w:rPr>
        <w:fldChar w:fldCharType="end"/>
      </w:r>
    </w:p>
    <w:p w14:paraId="05ADC603" w14:textId="1AC83734" w:rsidR="00F341E9" w:rsidRPr="00E04B87" w:rsidRDefault="00F341E9">
      <w:pPr>
        <w:pStyle w:val="TOC1"/>
        <w:rPr>
          <w:rFonts w:eastAsiaTheme="minorEastAsia"/>
          <w:caps w:val="0"/>
          <w:sz w:val="22"/>
          <w:szCs w:val="22"/>
          <w:lang w:val="fr-CA" w:eastAsia="fr-CA"/>
        </w:rPr>
      </w:pPr>
      <w:r w:rsidRPr="00E04B87">
        <w:rPr>
          <w:lang w:val="fr-CA"/>
        </w:rPr>
        <w:t>2.</w:t>
      </w:r>
      <w:r w:rsidRPr="00E04B87">
        <w:rPr>
          <w:rFonts w:eastAsiaTheme="minorEastAsia"/>
          <w:caps w:val="0"/>
          <w:sz w:val="22"/>
          <w:szCs w:val="22"/>
          <w:lang w:val="fr-CA" w:eastAsia="fr-CA"/>
        </w:rPr>
        <w:tab/>
      </w:r>
      <w:r w:rsidRPr="00E04B87">
        <w:rPr>
          <w:lang w:val="fr-CA"/>
        </w:rPr>
        <w:t>technologies de l’information</w:t>
      </w:r>
      <w:r w:rsidRPr="00E04B87">
        <w:rPr>
          <w:lang w:val="fr-CA"/>
        </w:rPr>
        <w:tab/>
      </w:r>
      <w:r w:rsidRPr="00E04B87">
        <w:rPr>
          <w:lang w:val="fr-CA"/>
        </w:rPr>
        <w:fldChar w:fldCharType="begin"/>
      </w:r>
      <w:r w:rsidRPr="00E04B87">
        <w:rPr>
          <w:lang w:val="fr-CA"/>
        </w:rPr>
        <w:instrText xml:space="preserve"> PAGEREF _Toc17376436 \h </w:instrText>
      </w:r>
      <w:r w:rsidRPr="00E04B87">
        <w:rPr>
          <w:lang w:val="fr-CA"/>
        </w:rPr>
      </w:r>
      <w:r w:rsidRPr="00E04B87">
        <w:rPr>
          <w:lang w:val="fr-CA"/>
        </w:rPr>
        <w:fldChar w:fldCharType="separate"/>
      </w:r>
      <w:r w:rsidR="000B7184">
        <w:rPr>
          <w:lang w:val="fr-CA"/>
        </w:rPr>
        <w:t>12</w:t>
      </w:r>
      <w:r w:rsidRPr="00E04B87">
        <w:rPr>
          <w:lang w:val="fr-CA"/>
        </w:rPr>
        <w:fldChar w:fldCharType="end"/>
      </w:r>
    </w:p>
    <w:p w14:paraId="76922100" w14:textId="5D73784B" w:rsidR="00F341E9" w:rsidRPr="00E04B87" w:rsidRDefault="00F341E9">
      <w:pPr>
        <w:pStyle w:val="TOC2"/>
        <w:rPr>
          <w:rFonts w:eastAsiaTheme="minorEastAsia"/>
          <w:szCs w:val="22"/>
          <w:lang w:val="fr-CA" w:eastAsia="fr-CA"/>
        </w:rPr>
      </w:pPr>
      <w:r w:rsidRPr="00E04B87">
        <w:rPr>
          <w:lang w:val="fr-CA"/>
        </w:rPr>
        <w:t>2.1</w:t>
      </w:r>
      <w:r w:rsidRPr="00E04B87">
        <w:rPr>
          <w:rFonts w:eastAsiaTheme="minorEastAsia"/>
          <w:szCs w:val="22"/>
          <w:lang w:val="fr-CA" w:eastAsia="fr-CA"/>
        </w:rPr>
        <w:tab/>
      </w:r>
      <w:r w:rsidRPr="00E04B87">
        <w:rPr>
          <w:lang w:val="fr-CA"/>
        </w:rPr>
        <w:t>Planification et évaluation</w:t>
      </w:r>
      <w:r w:rsidRPr="00E04B87">
        <w:rPr>
          <w:lang w:val="fr-CA"/>
        </w:rPr>
        <w:tab/>
      </w:r>
      <w:r w:rsidRPr="00E04B87">
        <w:rPr>
          <w:lang w:val="fr-CA"/>
        </w:rPr>
        <w:fldChar w:fldCharType="begin"/>
      </w:r>
      <w:r w:rsidRPr="00E04B87">
        <w:rPr>
          <w:lang w:val="fr-CA"/>
        </w:rPr>
        <w:instrText xml:space="preserve"> PAGEREF _Toc17376437 \h </w:instrText>
      </w:r>
      <w:r w:rsidRPr="00E04B87">
        <w:rPr>
          <w:lang w:val="fr-CA"/>
        </w:rPr>
      </w:r>
      <w:r w:rsidRPr="00E04B87">
        <w:rPr>
          <w:lang w:val="fr-CA"/>
        </w:rPr>
        <w:fldChar w:fldCharType="separate"/>
      </w:r>
      <w:r w:rsidR="000B7184">
        <w:rPr>
          <w:lang w:val="fr-CA"/>
        </w:rPr>
        <w:t>13</w:t>
      </w:r>
      <w:r w:rsidRPr="00E04B87">
        <w:rPr>
          <w:lang w:val="fr-CA"/>
        </w:rPr>
        <w:fldChar w:fldCharType="end"/>
      </w:r>
    </w:p>
    <w:p w14:paraId="5F08FAE1" w14:textId="2ECC0189" w:rsidR="00F341E9" w:rsidRPr="00E04B87" w:rsidRDefault="00F341E9">
      <w:pPr>
        <w:pStyle w:val="TOC2"/>
        <w:rPr>
          <w:rFonts w:eastAsiaTheme="minorEastAsia"/>
          <w:szCs w:val="22"/>
          <w:lang w:val="fr-CA" w:eastAsia="fr-CA"/>
        </w:rPr>
      </w:pPr>
      <w:r w:rsidRPr="00E04B87">
        <w:rPr>
          <w:lang w:val="fr-CA"/>
        </w:rPr>
        <w:t>2.2</w:t>
      </w:r>
      <w:r w:rsidRPr="00E04B87">
        <w:rPr>
          <w:rFonts w:eastAsiaTheme="minorEastAsia"/>
          <w:szCs w:val="22"/>
          <w:lang w:val="fr-CA" w:eastAsia="fr-CA"/>
        </w:rPr>
        <w:tab/>
      </w:r>
      <w:r w:rsidRPr="00E04B87">
        <w:rPr>
          <w:lang w:val="fr-CA"/>
        </w:rPr>
        <w:t>Impartition</w:t>
      </w:r>
      <w:r w:rsidRPr="00E04B87">
        <w:rPr>
          <w:lang w:val="fr-CA"/>
        </w:rPr>
        <w:tab/>
      </w:r>
      <w:r w:rsidRPr="00E04B87">
        <w:rPr>
          <w:lang w:val="fr-CA"/>
        </w:rPr>
        <w:fldChar w:fldCharType="begin"/>
      </w:r>
      <w:r w:rsidRPr="00E04B87">
        <w:rPr>
          <w:lang w:val="fr-CA"/>
        </w:rPr>
        <w:instrText xml:space="preserve"> PAGEREF _Toc17376438 \h </w:instrText>
      </w:r>
      <w:r w:rsidRPr="00E04B87">
        <w:rPr>
          <w:lang w:val="fr-CA"/>
        </w:rPr>
      </w:r>
      <w:r w:rsidRPr="00E04B87">
        <w:rPr>
          <w:lang w:val="fr-CA"/>
        </w:rPr>
        <w:fldChar w:fldCharType="separate"/>
      </w:r>
      <w:r w:rsidR="000B7184">
        <w:rPr>
          <w:lang w:val="fr-CA"/>
        </w:rPr>
        <w:t>13</w:t>
      </w:r>
      <w:r w:rsidRPr="00E04B87">
        <w:rPr>
          <w:lang w:val="fr-CA"/>
        </w:rPr>
        <w:fldChar w:fldCharType="end"/>
      </w:r>
    </w:p>
    <w:p w14:paraId="768D6992" w14:textId="013E7EC2" w:rsidR="00F341E9" w:rsidRPr="00E04B87" w:rsidRDefault="00F341E9">
      <w:pPr>
        <w:pStyle w:val="TOC2"/>
        <w:rPr>
          <w:rFonts w:eastAsiaTheme="minorEastAsia"/>
          <w:szCs w:val="22"/>
          <w:lang w:val="fr-CA" w:eastAsia="fr-CA"/>
        </w:rPr>
      </w:pPr>
      <w:r w:rsidRPr="00E04B87">
        <w:rPr>
          <w:lang w:val="fr-CA"/>
        </w:rPr>
        <w:t>2.3</w:t>
      </w:r>
      <w:r w:rsidRPr="00E04B87">
        <w:rPr>
          <w:rFonts w:eastAsiaTheme="minorEastAsia"/>
          <w:szCs w:val="22"/>
          <w:lang w:val="fr-CA" w:eastAsia="fr-CA"/>
        </w:rPr>
        <w:tab/>
      </w:r>
      <w:r w:rsidRPr="00E04B87">
        <w:rPr>
          <w:lang w:val="fr-CA"/>
        </w:rPr>
        <w:t>Gestion des données</w:t>
      </w:r>
      <w:r w:rsidRPr="00E04B87">
        <w:rPr>
          <w:lang w:val="fr-CA"/>
        </w:rPr>
        <w:tab/>
      </w:r>
      <w:r w:rsidRPr="00E04B87">
        <w:rPr>
          <w:lang w:val="fr-CA"/>
        </w:rPr>
        <w:fldChar w:fldCharType="begin"/>
      </w:r>
      <w:r w:rsidRPr="00E04B87">
        <w:rPr>
          <w:lang w:val="fr-CA"/>
        </w:rPr>
        <w:instrText xml:space="preserve"> PAGEREF _Toc17376439 \h </w:instrText>
      </w:r>
      <w:r w:rsidRPr="00E04B87">
        <w:rPr>
          <w:lang w:val="fr-CA"/>
        </w:rPr>
      </w:r>
      <w:r w:rsidRPr="00E04B87">
        <w:rPr>
          <w:lang w:val="fr-CA"/>
        </w:rPr>
        <w:fldChar w:fldCharType="separate"/>
      </w:r>
      <w:r w:rsidR="000B7184">
        <w:rPr>
          <w:lang w:val="fr-CA"/>
        </w:rPr>
        <w:t>13</w:t>
      </w:r>
      <w:r w:rsidRPr="00E04B87">
        <w:rPr>
          <w:lang w:val="fr-CA"/>
        </w:rPr>
        <w:fldChar w:fldCharType="end"/>
      </w:r>
    </w:p>
    <w:p w14:paraId="2A17EC18" w14:textId="4B14C86D" w:rsidR="00F341E9" w:rsidRPr="00E04B87" w:rsidRDefault="00F341E9">
      <w:pPr>
        <w:pStyle w:val="TOC2"/>
        <w:rPr>
          <w:rFonts w:eastAsiaTheme="minorEastAsia"/>
          <w:szCs w:val="22"/>
          <w:lang w:val="fr-CA" w:eastAsia="fr-CA"/>
        </w:rPr>
      </w:pPr>
      <w:r w:rsidRPr="00E04B87">
        <w:rPr>
          <w:lang w:val="fr-CA"/>
        </w:rPr>
        <w:t>2.4</w:t>
      </w:r>
      <w:r w:rsidRPr="00E04B87">
        <w:rPr>
          <w:rFonts w:eastAsiaTheme="minorEastAsia"/>
          <w:szCs w:val="22"/>
          <w:lang w:val="fr-CA" w:eastAsia="fr-CA"/>
        </w:rPr>
        <w:tab/>
      </w:r>
      <w:r w:rsidRPr="00E04B87">
        <w:rPr>
          <w:lang w:val="fr-CA"/>
        </w:rPr>
        <w:t>Gestion des accès</w:t>
      </w:r>
      <w:r w:rsidRPr="00E04B87">
        <w:rPr>
          <w:lang w:val="fr-CA"/>
        </w:rPr>
        <w:tab/>
      </w:r>
      <w:r w:rsidRPr="00E04B87">
        <w:rPr>
          <w:lang w:val="fr-CA"/>
        </w:rPr>
        <w:fldChar w:fldCharType="begin"/>
      </w:r>
      <w:r w:rsidRPr="00E04B87">
        <w:rPr>
          <w:lang w:val="fr-CA"/>
        </w:rPr>
        <w:instrText xml:space="preserve"> PAGEREF _Toc17376440 \h </w:instrText>
      </w:r>
      <w:r w:rsidRPr="00E04B87">
        <w:rPr>
          <w:lang w:val="fr-CA"/>
        </w:rPr>
      </w:r>
      <w:r w:rsidRPr="00E04B87">
        <w:rPr>
          <w:lang w:val="fr-CA"/>
        </w:rPr>
        <w:fldChar w:fldCharType="separate"/>
      </w:r>
      <w:r w:rsidR="000B7184">
        <w:rPr>
          <w:lang w:val="fr-CA"/>
        </w:rPr>
        <w:t>14</w:t>
      </w:r>
      <w:r w:rsidRPr="00E04B87">
        <w:rPr>
          <w:lang w:val="fr-CA"/>
        </w:rPr>
        <w:fldChar w:fldCharType="end"/>
      </w:r>
    </w:p>
    <w:p w14:paraId="72C9177A" w14:textId="4DCA286D" w:rsidR="00F341E9" w:rsidRPr="00E04B87" w:rsidRDefault="00F341E9">
      <w:pPr>
        <w:pStyle w:val="TOC2"/>
        <w:rPr>
          <w:rFonts w:eastAsiaTheme="minorEastAsia"/>
          <w:szCs w:val="22"/>
          <w:lang w:val="fr-CA" w:eastAsia="fr-CA"/>
        </w:rPr>
      </w:pPr>
      <w:r w:rsidRPr="00E04B87">
        <w:rPr>
          <w:lang w:val="fr-CA"/>
        </w:rPr>
        <w:t>2.5</w:t>
      </w:r>
      <w:r w:rsidRPr="00E04B87">
        <w:rPr>
          <w:rFonts w:eastAsiaTheme="minorEastAsia"/>
          <w:szCs w:val="22"/>
          <w:lang w:val="fr-CA" w:eastAsia="fr-CA"/>
        </w:rPr>
        <w:tab/>
      </w:r>
      <w:r w:rsidRPr="00E04B87">
        <w:rPr>
          <w:lang w:val="fr-CA"/>
        </w:rPr>
        <w:t>Sécurité informatique</w:t>
      </w:r>
      <w:r w:rsidRPr="00E04B87">
        <w:rPr>
          <w:lang w:val="fr-CA"/>
        </w:rPr>
        <w:tab/>
      </w:r>
      <w:r w:rsidRPr="00E04B87">
        <w:rPr>
          <w:lang w:val="fr-CA"/>
        </w:rPr>
        <w:fldChar w:fldCharType="begin"/>
      </w:r>
      <w:r w:rsidRPr="00E04B87">
        <w:rPr>
          <w:lang w:val="fr-CA"/>
        </w:rPr>
        <w:instrText xml:space="preserve"> PAGEREF _Toc17376441 \h </w:instrText>
      </w:r>
      <w:r w:rsidRPr="00E04B87">
        <w:rPr>
          <w:lang w:val="fr-CA"/>
        </w:rPr>
      </w:r>
      <w:r w:rsidRPr="00E04B87">
        <w:rPr>
          <w:lang w:val="fr-CA"/>
        </w:rPr>
        <w:fldChar w:fldCharType="separate"/>
      </w:r>
      <w:r w:rsidR="000B7184">
        <w:rPr>
          <w:lang w:val="fr-CA"/>
        </w:rPr>
        <w:t>14</w:t>
      </w:r>
      <w:r w:rsidRPr="00E04B87">
        <w:rPr>
          <w:lang w:val="fr-CA"/>
        </w:rPr>
        <w:fldChar w:fldCharType="end"/>
      </w:r>
    </w:p>
    <w:p w14:paraId="27969D75" w14:textId="766304CD" w:rsidR="00F341E9" w:rsidRPr="00E04B87" w:rsidRDefault="00F341E9">
      <w:pPr>
        <w:pStyle w:val="TOC2"/>
        <w:rPr>
          <w:rFonts w:eastAsiaTheme="minorEastAsia"/>
          <w:szCs w:val="22"/>
          <w:lang w:val="fr-CA" w:eastAsia="fr-CA"/>
        </w:rPr>
      </w:pPr>
      <w:r w:rsidRPr="00E04B87">
        <w:rPr>
          <w:lang w:val="fr-CA"/>
        </w:rPr>
        <w:t>2.6</w:t>
      </w:r>
      <w:r w:rsidRPr="00E04B87">
        <w:rPr>
          <w:rFonts w:eastAsiaTheme="minorEastAsia"/>
          <w:szCs w:val="22"/>
          <w:lang w:val="fr-CA" w:eastAsia="fr-CA"/>
        </w:rPr>
        <w:tab/>
      </w:r>
      <w:r w:rsidRPr="00E04B87">
        <w:rPr>
          <w:lang w:val="fr-CA"/>
        </w:rPr>
        <w:t>Gestion du changement</w:t>
      </w:r>
      <w:r w:rsidRPr="00E04B87">
        <w:rPr>
          <w:lang w:val="fr-CA"/>
        </w:rPr>
        <w:tab/>
      </w:r>
      <w:r w:rsidRPr="00E04B87">
        <w:rPr>
          <w:lang w:val="fr-CA"/>
        </w:rPr>
        <w:fldChar w:fldCharType="begin"/>
      </w:r>
      <w:r w:rsidRPr="00E04B87">
        <w:rPr>
          <w:lang w:val="fr-CA"/>
        </w:rPr>
        <w:instrText xml:space="preserve"> PAGEREF _Toc17376442 \h </w:instrText>
      </w:r>
      <w:r w:rsidRPr="00E04B87">
        <w:rPr>
          <w:lang w:val="fr-CA"/>
        </w:rPr>
      </w:r>
      <w:r w:rsidRPr="00E04B87">
        <w:rPr>
          <w:lang w:val="fr-CA"/>
        </w:rPr>
        <w:fldChar w:fldCharType="separate"/>
      </w:r>
      <w:r w:rsidR="000B7184">
        <w:rPr>
          <w:lang w:val="fr-CA"/>
        </w:rPr>
        <w:t>15</w:t>
      </w:r>
      <w:r w:rsidRPr="00E04B87">
        <w:rPr>
          <w:lang w:val="fr-CA"/>
        </w:rPr>
        <w:fldChar w:fldCharType="end"/>
      </w:r>
    </w:p>
    <w:p w14:paraId="582347FA" w14:textId="02696AD2" w:rsidR="00F341E9" w:rsidRPr="00E04B87" w:rsidRDefault="00F341E9">
      <w:pPr>
        <w:pStyle w:val="TOC2"/>
        <w:rPr>
          <w:rFonts w:eastAsiaTheme="minorEastAsia"/>
          <w:szCs w:val="22"/>
          <w:lang w:val="fr-CA" w:eastAsia="fr-CA"/>
        </w:rPr>
      </w:pPr>
      <w:r w:rsidRPr="00E04B87">
        <w:rPr>
          <w:lang w:val="fr-CA"/>
        </w:rPr>
        <w:t>2.7</w:t>
      </w:r>
      <w:r w:rsidRPr="00E04B87">
        <w:rPr>
          <w:rFonts w:eastAsiaTheme="minorEastAsia"/>
          <w:szCs w:val="22"/>
          <w:lang w:val="fr-CA" w:eastAsia="fr-CA"/>
        </w:rPr>
        <w:tab/>
      </w:r>
      <w:r w:rsidRPr="00E04B87">
        <w:rPr>
          <w:lang w:val="fr-CA"/>
        </w:rPr>
        <w:t>Surveillance</w:t>
      </w:r>
      <w:r w:rsidRPr="00E04B87">
        <w:rPr>
          <w:lang w:val="fr-CA"/>
        </w:rPr>
        <w:tab/>
      </w:r>
      <w:r w:rsidRPr="00E04B87">
        <w:rPr>
          <w:lang w:val="fr-CA"/>
        </w:rPr>
        <w:fldChar w:fldCharType="begin"/>
      </w:r>
      <w:r w:rsidRPr="00E04B87">
        <w:rPr>
          <w:lang w:val="fr-CA"/>
        </w:rPr>
        <w:instrText xml:space="preserve"> PAGEREF _Toc17376443 \h </w:instrText>
      </w:r>
      <w:r w:rsidRPr="00E04B87">
        <w:rPr>
          <w:lang w:val="fr-CA"/>
        </w:rPr>
      </w:r>
      <w:r w:rsidRPr="00E04B87">
        <w:rPr>
          <w:lang w:val="fr-CA"/>
        </w:rPr>
        <w:fldChar w:fldCharType="separate"/>
      </w:r>
      <w:r w:rsidR="000B7184">
        <w:rPr>
          <w:lang w:val="fr-CA"/>
        </w:rPr>
        <w:t>15</w:t>
      </w:r>
      <w:r w:rsidRPr="00E04B87">
        <w:rPr>
          <w:lang w:val="fr-CA"/>
        </w:rPr>
        <w:fldChar w:fldCharType="end"/>
      </w:r>
    </w:p>
    <w:p w14:paraId="5C8D1DAE" w14:textId="56FCE59C" w:rsidR="00F341E9" w:rsidRPr="00E04B87" w:rsidRDefault="00F341E9">
      <w:pPr>
        <w:pStyle w:val="TOC1"/>
        <w:rPr>
          <w:rFonts w:eastAsiaTheme="minorEastAsia"/>
          <w:caps w:val="0"/>
          <w:sz w:val="22"/>
          <w:szCs w:val="22"/>
          <w:lang w:val="fr-CA" w:eastAsia="fr-CA"/>
        </w:rPr>
      </w:pPr>
      <w:r w:rsidRPr="00E04B87">
        <w:rPr>
          <w:lang w:val="fr-CA"/>
        </w:rPr>
        <w:t>3.</w:t>
      </w:r>
      <w:r w:rsidRPr="00E04B87">
        <w:rPr>
          <w:rFonts w:eastAsiaTheme="minorEastAsia"/>
          <w:caps w:val="0"/>
          <w:sz w:val="22"/>
          <w:szCs w:val="22"/>
          <w:lang w:val="fr-CA" w:eastAsia="fr-CA"/>
        </w:rPr>
        <w:tab/>
      </w:r>
      <w:r w:rsidRPr="00E04B87">
        <w:rPr>
          <w:lang w:val="fr-CA"/>
        </w:rPr>
        <w:t>GESTION DES DOCUMENTS</w:t>
      </w:r>
      <w:r w:rsidRPr="00E04B87">
        <w:rPr>
          <w:lang w:val="fr-CA"/>
        </w:rPr>
        <w:tab/>
      </w:r>
      <w:r w:rsidRPr="00E04B87">
        <w:rPr>
          <w:lang w:val="fr-CA"/>
        </w:rPr>
        <w:fldChar w:fldCharType="begin"/>
      </w:r>
      <w:r w:rsidRPr="00E04B87">
        <w:rPr>
          <w:lang w:val="fr-CA"/>
        </w:rPr>
        <w:instrText xml:space="preserve"> PAGEREF _Toc17376444 \h </w:instrText>
      </w:r>
      <w:r w:rsidRPr="00E04B87">
        <w:rPr>
          <w:lang w:val="fr-CA"/>
        </w:rPr>
      </w:r>
      <w:r w:rsidRPr="00E04B87">
        <w:rPr>
          <w:lang w:val="fr-CA"/>
        </w:rPr>
        <w:fldChar w:fldCharType="separate"/>
      </w:r>
      <w:r w:rsidR="000B7184">
        <w:rPr>
          <w:lang w:val="fr-CA"/>
        </w:rPr>
        <w:t>17</w:t>
      </w:r>
      <w:r w:rsidRPr="00E04B87">
        <w:rPr>
          <w:lang w:val="fr-CA"/>
        </w:rPr>
        <w:fldChar w:fldCharType="end"/>
      </w:r>
    </w:p>
    <w:p w14:paraId="2CB89093" w14:textId="34C58F6B" w:rsidR="00F341E9" w:rsidRPr="00E04B87" w:rsidRDefault="00F341E9">
      <w:pPr>
        <w:pStyle w:val="TOC2"/>
        <w:rPr>
          <w:rFonts w:eastAsiaTheme="minorEastAsia"/>
          <w:szCs w:val="22"/>
          <w:lang w:val="fr-CA" w:eastAsia="fr-CA"/>
        </w:rPr>
      </w:pPr>
      <w:r w:rsidRPr="00E04B87">
        <w:rPr>
          <w:lang w:val="fr-CA"/>
        </w:rPr>
        <w:t>3.1</w:t>
      </w:r>
      <w:r w:rsidRPr="00E04B87">
        <w:rPr>
          <w:rFonts w:eastAsiaTheme="minorEastAsia"/>
          <w:szCs w:val="22"/>
          <w:lang w:val="fr-CA" w:eastAsia="fr-CA"/>
        </w:rPr>
        <w:tab/>
      </w:r>
      <w:r w:rsidRPr="00E04B87">
        <w:rPr>
          <w:lang w:val="fr-CA"/>
        </w:rPr>
        <w:t>Reddition de comptes</w:t>
      </w:r>
      <w:r w:rsidRPr="00E04B87">
        <w:rPr>
          <w:lang w:val="fr-CA"/>
        </w:rPr>
        <w:tab/>
      </w:r>
      <w:r w:rsidRPr="00E04B87">
        <w:rPr>
          <w:lang w:val="fr-CA"/>
        </w:rPr>
        <w:fldChar w:fldCharType="begin"/>
      </w:r>
      <w:r w:rsidRPr="00E04B87">
        <w:rPr>
          <w:lang w:val="fr-CA"/>
        </w:rPr>
        <w:instrText xml:space="preserve"> PAGEREF _Toc17376445 \h </w:instrText>
      </w:r>
      <w:r w:rsidRPr="00E04B87">
        <w:rPr>
          <w:lang w:val="fr-CA"/>
        </w:rPr>
      </w:r>
      <w:r w:rsidRPr="00E04B87">
        <w:rPr>
          <w:lang w:val="fr-CA"/>
        </w:rPr>
        <w:fldChar w:fldCharType="separate"/>
      </w:r>
      <w:r w:rsidR="000B7184">
        <w:rPr>
          <w:lang w:val="fr-CA"/>
        </w:rPr>
        <w:t>18</w:t>
      </w:r>
      <w:r w:rsidRPr="00E04B87">
        <w:rPr>
          <w:lang w:val="fr-CA"/>
        </w:rPr>
        <w:fldChar w:fldCharType="end"/>
      </w:r>
    </w:p>
    <w:p w14:paraId="3F8F349D" w14:textId="36BA919F" w:rsidR="00F341E9" w:rsidRPr="00E04B87" w:rsidRDefault="00F341E9">
      <w:pPr>
        <w:pStyle w:val="TOC2"/>
        <w:rPr>
          <w:rFonts w:eastAsiaTheme="minorEastAsia"/>
          <w:szCs w:val="22"/>
          <w:lang w:val="fr-CA" w:eastAsia="fr-CA"/>
        </w:rPr>
      </w:pPr>
      <w:r w:rsidRPr="00E04B87">
        <w:rPr>
          <w:lang w:val="fr-CA"/>
        </w:rPr>
        <w:t>3.2</w:t>
      </w:r>
      <w:r w:rsidRPr="00E04B87">
        <w:rPr>
          <w:rFonts w:eastAsiaTheme="minorEastAsia"/>
          <w:szCs w:val="22"/>
          <w:lang w:val="fr-CA" w:eastAsia="fr-CA"/>
        </w:rPr>
        <w:tab/>
      </w:r>
      <w:r w:rsidRPr="00E04B87">
        <w:rPr>
          <w:lang w:val="fr-CA"/>
        </w:rPr>
        <w:t>Création et collecte</w:t>
      </w:r>
      <w:r w:rsidRPr="00E04B87">
        <w:rPr>
          <w:lang w:val="fr-CA"/>
        </w:rPr>
        <w:tab/>
      </w:r>
      <w:r w:rsidRPr="00E04B87">
        <w:rPr>
          <w:lang w:val="fr-CA"/>
        </w:rPr>
        <w:fldChar w:fldCharType="begin"/>
      </w:r>
      <w:r w:rsidRPr="00E04B87">
        <w:rPr>
          <w:lang w:val="fr-CA"/>
        </w:rPr>
        <w:instrText xml:space="preserve"> PAGEREF _Toc17376446 \h </w:instrText>
      </w:r>
      <w:r w:rsidRPr="00E04B87">
        <w:rPr>
          <w:lang w:val="fr-CA"/>
        </w:rPr>
      </w:r>
      <w:r w:rsidRPr="00E04B87">
        <w:rPr>
          <w:lang w:val="fr-CA"/>
        </w:rPr>
        <w:fldChar w:fldCharType="separate"/>
      </w:r>
      <w:r w:rsidR="000B7184">
        <w:rPr>
          <w:lang w:val="fr-CA"/>
        </w:rPr>
        <w:t>18</w:t>
      </w:r>
      <w:r w:rsidRPr="00E04B87">
        <w:rPr>
          <w:lang w:val="fr-CA"/>
        </w:rPr>
        <w:fldChar w:fldCharType="end"/>
      </w:r>
    </w:p>
    <w:p w14:paraId="73E2435F" w14:textId="4B747139" w:rsidR="00F341E9" w:rsidRPr="00E04B87" w:rsidRDefault="00F341E9">
      <w:pPr>
        <w:pStyle w:val="TOC2"/>
        <w:rPr>
          <w:rFonts w:eastAsiaTheme="minorEastAsia"/>
          <w:szCs w:val="22"/>
          <w:lang w:val="fr-CA" w:eastAsia="fr-CA"/>
        </w:rPr>
      </w:pPr>
      <w:r w:rsidRPr="00E04B87">
        <w:rPr>
          <w:lang w:val="fr-CA"/>
        </w:rPr>
        <w:t>3.3</w:t>
      </w:r>
      <w:r w:rsidRPr="00E04B87">
        <w:rPr>
          <w:rFonts w:eastAsiaTheme="minorEastAsia"/>
          <w:szCs w:val="22"/>
          <w:lang w:val="fr-CA" w:eastAsia="fr-CA"/>
        </w:rPr>
        <w:tab/>
      </w:r>
      <w:r w:rsidRPr="00E04B87">
        <w:rPr>
          <w:lang w:val="fr-CA"/>
        </w:rPr>
        <w:t>Organisation et classement</w:t>
      </w:r>
      <w:r w:rsidRPr="00E04B87">
        <w:rPr>
          <w:lang w:val="fr-CA"/>
        </w:rPr>
        <w:tab/>
      </w:r>
      <w:r w:rsidRPr="00E04B87">
        <w:rPr>
          <w:lang w:val="fr-CA"/>
        </w:rPr>
        <w:fldChar w:fldCharType="begin"/>
      </w:r>
      <w:r w:rsidRPr="00E04B87">
        <w:rPr>
          <w:lang w:val="fr-CA"/>
        </w:rPr>
        <w:instrText xml:space="preserve"> PAGEREF _Toc17376447 \h </w:instrText>
      </w:r>
      <w:r w:rsidRPr="00E04B87">
        <w:rPr>
          <w:lang w:val="fr-CA"/>
        </w:rPr>
      </w:r>
      <w:r w:rsidRPr="00E04B87">
        <w:rPr>
          <w:lang w:val="fr-CA"/>
        </w:rPr>
        <w:fldChar w:fldCharType="separate"/>
      </w:r>
      <w:r w:rsidR="000B7184">
        <w:rPr>
          <w:lang w:val="fr-CA"/>
        </w:rPr>
        <w:t>19</w:t>
      </w:r>
      <w:r w:rsidRPr="00E04B87">
        <w:rPr>
          <w:lang w:val="fr-CA"/>
        </w:rPr>
        <w:fldChar w:fldCharType="end"/>
      </w:r>
    </w:p>
    <w:p w14:paraId="4A3F99A2" w14:textId="25144876" w:rsidR="00F341E9" w:rsidRPr="00E04B87" w:rsidRDefault="00F341E9">
      <w:pPr>
        <w:pStyle w:val="TOC2"/>
        <w:rPr>
          <w:rFonts w:eastAsiaTheme="minorEastAsia"/>
          <w:szCs w:val="22"/>
          <w:lang w:val="fr-CA" w:eastAsia="fr-CA"/>
        </w:rPr>
      </w:pPr>
      <w:r w:rsidRPr="00E04B87">
        <w:rPr>
          <w:lang w:val="fr-CA"/>
        </w:rPr>
        <w:t>3.4</w:t>
      </w:r>
      <w:r w:rsidRPr="00E04B87">
        <w:rPr>
          <w:rFonts w:eastAsiaTheme="minorEastAsia"/>
          <w:szCs w:val="22"/>
          <w:lang w:val="fr-CA" w:eastAsia="fr-CA"/>
        </w:rPr>
        <w:tab/>
      </w:r>
      <w:r w:rsidRPr="00E04B87">
        <w:rPr>
          <w:lang w:val="fr-CA"/>
        </w:rPr>
        <w:t>Conservation, protection et préservation</w:t>
      </w:r>
      <w:r w:rsidRPr="00E04B87">
        <w:rPr>
          <w:lang w:val="fr-CA"/>
        </w:rPr>
        <w:tab/>
      </w:r>
      <w:r w:rsidRPr="00E04B87">
        <w:rPr>
          <w:lang w:val="fr-CA"/>
        </w:rPr>
        <w:fldChar w:fldCharType="begin"/>
      </w:r>
      <w:r w:rsidRPr="00E04B87">
        <w:rPr>
          <w:lang w:val="fr-CA"/>
        </w:rPr>
        <w:instrText xml:space="preserve"> PAGEREF _Toc17376448 \h </w:instrText>
      </w:r>
      <w:r w:rsidRPr="00E04B87">
        <w:rPr>
          <w:lang w:val="fr-CA"/>
        </w:rPr>
      </w:r>
      <w:r w:rsidRPr="00E04B87">
        <w:rPr>
          <w:lang w:val="fr-CA"/>
        </w:rPr>
        <w:fldChar w:fldCharType="separate"/>
      </w:r>
      <w:r w:rsidR="000B7184">
        <w:rPr>
          <w:lang w:val="fr-CA"/>
        </w:rPr>
        <w:t>19</w:t>
      </w:r>
      <w:r w:rsidRPr="00E04B87">
        <w:rPr>
          <w:lang w:val="fr-CA"/>
        </w:rPr>
        <w:fldChar w:fldCharType="end"/>
      </w:r>
    </w:p>
    <w:p w14:paraId="04F5BB17" w14:textId="4A6A2E19" w:rsidR="00F341E9" w:rsidRPr="00E04B87" w:rsidRDefault="00F341E9">
      <w:pPr>
        <w:pStyle w:val="TOC2"/>
        <w:rPr>
          <w:rFonts w:eastAsiaTheme="minorEastAsia"/>
          <w:szCs w:val="22"/>
          <w:lang w:val="fr-CA" w:eastAsia="fr-CA"/>
        </w:rPr>
      </w:pPr>
      <w:r w:rsidRPr="00E04B87">
        <w:rPr>
          <w:lang w:val="fr-CA"/>
        </w:rPr>
        <w:t>3.5</w:t>
      </w:r>
      <w:r w:rsidRPr="00E04B87">
        <w:rPr>
          <w:rFonts w:eastAsiaTheme="minorEastAsia"/>
          <w:szCs w:val="22"/>
          <w:lang w:val="fr-CA" w:eastAsia="fr-CA"/>
        </w:rPr>
        <w:tab/>
      </w:r>
      <w:r w:rsidRPr="00E04B87">
        <w:rPr>
          <w:lang w:val="fr-CA"/>
        </w:rPr>
        <w:t>Conservation et suppression</w:t>
      </w:r>
      <w:r w:rsidRPr="00E04B87">
        <w:rPr>
          <w:lang w:val="fr-CA"/>
        </w:rPr>
        <w:tab/>
      </w:r>
      <w:r w:rsidRPr="00E04B87">
        <w:rPr>
          <w:lang w:val="fr-CA"/>
        </w:rPr>
        <w:fldChar w:fldCharType="begin"/>
      </w:r>
      <w:r w:rsidRPr="00E04B87">
        <w:rPr>
          <w:lang w:val="fr-CA"/>
        </w:rPr>
        <w:instrText xml:space="preserve"> PAGEREF _Toc17376449 \h </w:instrText>
      </w:r>
      <w:r w:rsidRPr="00E04B87">
        <w:rPr>
          <w:lang w:val="fr-CA"/>
        </w:rPr>
      </w:r>
      <w:r w:rsidRPr="00E04B87">
        <w:rPr>
          <w:lang w:val="fr-CA"/>
        </w:rPr>
        <w:fldChar w:fldCharType="separate"/>
      </w:r>
      <w:r w:rsidR="000B7184">
        <w:rPr>
          <w:lang w:val="fr-CA"/>
        </w:rPr>
        <w:t>20</w:t>
      </w:r>
      <w:r w:rsidRPr="00E04B87">
        <w:rPr>
          <w:lang w:val="fr-CA"/>
        </w:rPr>
        <w:fldChar w:fldCharType="end"/>
      </w:r>
    </w:p>
    <w:p w14:paraId="62170FA9" w14:textId="0D126345" w:rsidR="00F341E9" w:rsidRPr="00E04B87" w:rsidRDefault="00F341E9">
      <w:pPr>
        <w:pStyle w:val="TOC1"/>
        <w:rPr>
          <w:rFonts w:eastAsiaTheme="minorEastAsia"/>
          <w:caps w:val="0"/>
          <w:sz w:val="22"/>
          <w:szCs w:val="22"/>
          <w:lang w:val="fr-CA" w:eastAsia="fr-CA"/>
        </w:rPr>
      </w:pPr>
      <w:r w:rsidRPr="00E04B87">
        <w:rPr>
          <w:lang w:val="fr-CA"/>
        </w:rPr>
        <w:t>4.</w:t>
      </w:r>
      <w:r w:rsidRPr="00E04B87">
        <w:rPr>
          <w:rFonts w:eastAsiaTheme="minorEastAsia"/>
          <w:caps w:val="0"/>
          <w:sz w:val="22"/>
          <w:szCs w:val="22"/>
          <w:lang w:val="fr-CA" w:eastAsia="fr-CA"/>
        </w:rPr>
        <w:tab/>
      </w:r>
      <w:r w:rsidRPr="00E04B87">
        <w:rPr>
          <w:lang w:val="fr-CA"/>
        </w:rPr>
        <w:t>CONFIDENTIALITÉ DE L’INFORMATION</w:t>
      </w:r>
      <w:r w:rsidRPr="00E04B87">
        <w:rPr>
          <w:lang w:val="fr-CA"/>
        </w:rPr>
        <w:tab/>
      </w:r>
      <w:r w:rsidRPr="00E04B87">
        <w:rPr>
          <w:lang w:val="fr-CA"/>
        </w:rPr>
        <w:fldChar w:fldCharType="begin"/>
      </w:r>
      <w:r w:rsidRPr="00E04B87">
        <w:rPr>
          <w:lang w:val="fr-CA"/>
        </w:rPr>
        <w:instrText xml:space="preserve"> PAGEREF _Toc17376450 \h </w:instrText>
      </w:r>
      <w:r w:rsidRPr="00E04B87">
        <w:rPr>
          <w:lang w:val="fr-CA"/>
        </w:rPr>
      </w:r>
      <w:r w:rsidRPr="00E04B87">
        <w:rPr>
          <w:lang w:val="fr-CA"/>
        </w:rPr>
        <w:fldChar w:fldCharType="separate"/>
      </w:r>
      <w:r w:rsidR="000B7184">
        <w:rPr>
          <w:lang w:val="fr-CA"/>
        </w:rPr>
        <w:t>24</w:t>
      </w:r>
      <w:r w:rsidRPr="00E04B87">
        <w:rPr>
          <w:lang w:val="fr-CA"/>
        </w:rPr>
        <w:fldChar w:fldCharType="end"/>
      </w:r>
    </w:p>
    <w:p w14:paraId="29C0A9FA" w14:textId="0F60DBBE" w:rsidR="00F341E9" w:rsidRPr="00E04B87" w:rsidRDefault="00F341E9">
      <w:pPr>
        <w:pStyle w:val="TOC2"/>
        <w:rPr>
          <w:rFonts w:eastAsiaTheme="minorEastAsia"/>
          <w:szCs w:val="22"/>
          <w:lang w:val="fr-CA" w:eastAsia="fr-CA"/>
        </w:rPr>
      </w:pPr>
      <w:r w:rsidRPr="00E04B87">
        <w:rPr>
          <w:lang w:val="fr-CA"/>
        </w:rPr>
        <w:t>4.1</w:t>
      </w:r>
      <w:r w:rsidRPr="00E04B87">
        <w:rPr>
          <w:rFonts w:eastAsiaTheme="minorEastAsia"/>
          <w:szCs w:val="22"/>
          <w:lang w:val="fr-CA" w:eastAsia="fr-CA"/>
        </w:rPr>
        <w:tab/>
      </w:r>
      <w:r w:rsidRPr="00E04B87">
        <w:rPr>
          <w:lang w:val="fr-CA"/>
        </w:rPr>
        <w:t>Reddition de comptes</w:t>
      </w:r>
      <w:r w:rsidRPr="00E04B87">
        <w:rPr>
          <w:lang w:val="fr-CA"/>
        </w:rPr>
        <w:tab/>
      </w:r>
      <w:r w:rsidRPr="00E04B87">
        <w:rPr>
          <w:lang w:val="fr-CA"/>
        </w:rPr>
        <w:fldChar w:fldCharType="begin"/>
      </w:r>
      <w:r w:rsidRPr="00E04B87">
        <w:rPr>
          <w:lang w:val="fr-CA"/>
        </w:rPr>
        <w:instrText xml:space="preserve"> PAGEREF _Toc17376451 \h </w:instrText>
      </w:r>
      <w:r w:rsidRPr="00E04B87">
        <w:rPr>
          <w:lang w:val="fr-CA"/>
        </w:rPr>
      </w:r>
      <w:r w:rsidRPr="00E04B87">
        <w:rPr>
          <w:lang w:val="fr-CA"/>
        </w:rPr>
        <w:fldChar w:fldCharType="separate"/>
      </w:r>
      <w:r w:rsidR="000B7184">
        <w:rPr>
          <w:lang w:val="fr-CA"/>
        </w:rPr>
        <w:t>25</w:t>
      </w:r>
      <w:r w:rsidRPr="00E04B87">
        <w:rPr>
          <w:lang w:val="fr-CA"/>
        </w:rPr>
        <w:fldChar w:fldCharType="end"/>
      </w:r>
    </w:p>
    <w:p w14:paraId="5F459EA8" w14:textId="11A254CB" w:rsidR="00F341E9" w:rsidRPr="00E04B87" w:rsidRDefault="00F341E9">
      <w:pPr>
        <w:pStyle w:val="TOC2"/>
        <w:rPr>
          <w:rFonts w:eastAsiaTheme="minorEastAsia"/>
          <w:szCs w:val="22"/>
          <w:lang w:val="fr-CA" w:eastAsia="fr-CA"/>
        </w:rPr>
      </w:pPr>
      <w:r w:rsidRPr="00E04B87">
        <w:rPr>
          <w:lang w:val="fr-CA"/>
        </w:rPr>
        <w:t>4.2</w:t>
      </w:r>
      <w:r w:rsidRPr="00E04B87">
        <w:rPr>
          <w:rFonts w:eastAsiaTheme="minorEastAsia"/>
          <w:szCs w:val="22"/>
          <w:lang w:val="fr-CA" w:eastAsia="fr-CA"/>
        </w:rPr>
        <w:tab/>
      </w:r>
      <w:r w:rsidRPr="00E04B87">
        <w:rPr>
          <w:lang w:val="fr-CA"/>
        </w:rPr>
        <w:t>Communication du motif</w:t>
      </w:r>
      <w:r w:rsidRPr="00E04B87">
        <w:rPr>
          <w:lang w:val="fr-CA"/>
        </w:rPr>
        <w:tab/>
      </w:r>
      <w:r w:rsidRPr="00E04B87">
        <w:rPr>
          <w:lang w:val="fr-CA"/>
        </w:rPr>
        <w:fldChar w:fldCharType="begin"/>
      </w:r>
      <w:r w:rsidRPr="00E04B87">
        <w:rPr>
          <w:lang w:val="fr-CA"/>
        </w:rPr>
        <w:instrText xml:space="preserve"> PAGEREF _Toc17376452 \h </w:instrText>
      </w:r>
      <w:r w:rsidRPr="00E04B87">
        <w:rPr>
          <w:lang w:val="fr-CA"/>
        </w:rPr>
      </w:r>
      <w:r w:rsidRPr="00E04B87">
        <w:rPr>
          <w:lang w:val="fr-CA"/>
        </w:rPr>
        <w:fldChar w:fldCharType="separate"/>
      </w:r>
      <w:r w:rsidR="000B7184">
        <w:rPr>
          <w:lang w:val="fr-CA"/>
        </w:rPr>
        <w:t>25</w:t>
      </w:r>
      <w:r w:rsidRPr="00E04B87">
        <w:rPr>
          <w:lang w:val="fr-CA"/>
        </w:rPr>
        <w:fldChar w:fldCharType="end"/>
      </w:r>
    </w:p>
    <w:p w14:paraId="0CE46DC6" w14:textId="3D3ECE77" w:rsidR="00F341E9" w:rsidRPr="00E04B87" w:rsidRDefault="00F341E9">
      <w:pPr>
        <w:pStyle w:val="TOC2"/>
        <w:rPr>
          <w:rFonts w:eastAsiaTheme="minorEastAsia"/>
          <w:szCs w:val="22"/>
          <w:lang w:val="fr-CA" w:eastAsia="fr-CA"/>
        </w:rPr>
      </w:pPr>
      <w:r w:rsidRPr="00E04B87">
        <w:rPr>
          <w:lang w:val="fr-CA"/>
        </w:rPr>
        <w:t>4.3</w:t>
      </w:r>
      <w:r w:rsidRPr="00E04B87">
        <w:rPr>
          <w:rFonts w:eastAsiaTheme="minorEastAsia"/>
          <w:szCs w:val="22"/>
          <w:lang w:val="fr-CA" w:eastAsia="fr-CA"/>
        </w:rPr>
        <w:tab/>
      </w:r>
      <w:r w:rsidRPr="00E04B87">
        <w:rPr>
          <w:lang w:val="fr-CA"/>
        </w:rPr>
        <w:t>Consentement</w:t>
      </w:r>
      <w:r w:rsidRPr="00E04B87">
        <w:rPr>
          <w:lang w:val="fr-CA"/>
        </w:rPr>
        <w:tab/>
      </w:r>
      <w:r w:rsidRPr="00E04B87">
        <w:rPr>
          <w:lang w:val="fr-CA"/>
        </w:rPr>
        <w:fldChar w:fldCharType="begin"/>
      </w:r>
      <w:r w:rsidRPr="00E04B87">
        <w:rPr>
          <w:lang w:val="fr-CA"/>
        </w:rPr>
        <w:instrText xml:space="preserve"> PAGEREF _Toc17376453 \h </w:instrText>
      </w:r>
      <w:r w:rsidRPr="00E04B87">
        <w:rPr>
          <w:lang w:val="fr-CA"/>
        </w:rPr>
      </w:r>
      <w:r w:rsidRPr="00E04B87">
        <w:rPr>
          <w:lang w:val="fr-CA"/>
        </w:rPr>
        <w:fldChar w:fldCharType="separate"/>
      </w:r>
      <w:r w:rsidR="000B7184">
        <w:rPr>
          <w:lang w:val="fr-CA"/>
        </w:rPr>
        <w:t>26</w:t>
      </w:r>
      <w:r w:rsidRPr="00E04B87">
        <w:rPr>
          <w:lang w:val="fr-CA"/>
        </w:rPr>
        <w:fldChar w:fldCharType="end"/>
      </w:r>
    </w:p>
    <w:p w14:paraId="3253F722" w14:textId="290ADB6C" w:rsidR="00F341E9" w:rsidRPr="00E04B87" w:rsidRDefault="00F341E9">
      <w:pPr>
        <w:pStyle w:val="TOC2"/>
        <w:rPr>
          <w:rFonts w:eastAsiaTheme="minorEastAsia"/>
          <w:szCs w:val="22"/>
          <w:lang w:val="fr-CA" w:eastAsia="fr-CA"/>
        </w:rPr>
      </w:pPr>
      <w:r w:rsidRPr="00E04B87">
        <w:rPr>
          <w:lang w:val="fr-CA"/>
        </w:rPr>
        <w:t>4.4</w:t>
      </w:r>
      <w:r w:rsidRPr="00E04B87">
        <w:rPr>
          <w:rFonts w:eastAsiaTheme="minorEastAsia"/>
          <w:szCs w:val="22"/>
          <w:lang w:val="fr-CA" w:eastAsia="fr-CA"/>
        </w:rPr>
        <w:tab/>
      </w:r>
      <w:r w:rsidRPr="00E04B87">
        <w:rPr>
          <w:lang w:val="fr-CA"/>
        </w:rPr>
        <w:t>Renseignements nécessaires</w:t>
      </w:r>
      <w:r w:rsidRPr="00E04B87">
        <w:rPr>
          <w:lang w:val="fr-CA"/>
        </w:rPr>
        <w:tab/>
      </w:r>
      <w:r w:rsidRPr="00E04B87">
        <w:rPr>
          <w:lang w:val="fr-CA"/>
        </w:rPr>
        <w:fldChar w:fldCharType="begin"/>
      </w:r>
      <w:r w:rsidRPr="00E04B87">
        <w:rPr>
          <w:lang w:val="fr-CA"/>
        </w:rPr>
        <w:instrText xml:space="preserve"> PAGEREF _Toc17376454 \h </w:instrText>
      </w:r>
      <w:r w:rsidRPr="00E04B87">
        <w:rPr>
          <w:lang w:val="fr-CA"/>
        </w:rPr>
      </w:r>
      <w:r w:rsidRPr="00E04B87">
        <w:rPr>
          <w:lang w:val="fr-CA"/>
        </w:rPr>
        <w:fldChar w:fldCharType="separate"/>
      </w:r>
      <w:r w:rsidR="000B7184">
        <w:rPr>
          <w:lang w:val="fr-CA"/>
        </w:rPr>
        <w:t>26</w:t>
      </w:r>
      <w:r w:rsidRPr="00E04B87">
        <w:rPr>
          <w:lang w:val="fr-CA"/>
        </w:rPr>
        <w:fldChar w:fldCharType="end"/>
      </w:r>
    </w:p>
    <w:p w14:paraId="5A3CA1A6" w14:textId="613BDB38" w:rsidR="00F341E9" w:rsidRPr="00E04B87" w:rsidRDefault="00F341E9">
      <w:pPr>
        <w:pStyle w:val="TOC2"/>
        <w:rPr>
          <w:rFonts w:eastAsiaTheme="minorEastAsia"/>
          <w:szCs w:val="22"/>
          <w:lang w:val="fr-CA" w:eastAsia="fr-CA"/>
        </w:rPr>
      </w:pPr>
      <w:r w:rsidRPr="00E04B87">
        <w:rPr>
          <w:lang w:val="fr-CA"/>
        </w:rPr>
        <w:t>4.5</w:t>
      </w:r>
      <w:r w:rsidRPr="00E04B87">
        <w:rPr>
          <w:rFonts w:eastAsiaTheme="minorEastAsia"/>
          <w:szCs w:val="22"/>
          <w:lang w:val="fr-CA" w:eastAsia="fr-CA"/>
        </w:rPr>
        <w:tab/>
      </w:r>
      <w:r w:rsidRPr="00E04B87">
        <w:rPr>
          <w:lang w:val="fr-CA"/>
        </w:rPr>
        <w:t>Restrictions relatives à l’utilisation, à la divulgation et à la conservation</w:t>
      </w:r>
      <w:r w:rsidRPr="00E04B87">
        <w:rPr>
          <w:lang w:val="fr-CA"/>
        </w:rPr>
        <w:tab/>
      </w:r>
      <w:r w:rsidRPr="00E04B87">
        <w:rPr>
          <w:lang w:val="fr-CA"/>
        </w:rPr>
        <w:fldChar w:fldCharType="begin"/>
      </w:r>
      <w:r w:rsidRPr="00E04B87">
        <w:rPr>
          <w:lang w:val="fr-CA"/>
        </w:rPr>
        <w:instrText xml:space="preserve"> PAGEREF _Toc17376455 \h </w:instrText>
      </w:r>
      <w:r w:rsidRPr="00E04B87">
        <w:rPr>
          <w:lang w:val="fr-CA"/>
        </w:rPr>
      </w:r>
      <w:r w:rsidRPr="00E04B87">
        <w:rPr>
          <w:lang w:val="fr-CA"/>
        </w:rPr>
        <w:fldChar w:fldCharType="separate"/>
      </w:r>
      <w:r w:rsidR="000B7184">
        <w:rPr>
          <w:lang w:val="fr-CA"/>
        </w:rPr>
        <w:t>26</w:t>
      </w:r>
      <w:r w:rsidRPr="00E04B87">
        <w:rPr>
          <w:lang w:val="fr-CA"/>
        </w:rPr>
        <w:fldChar w:fldCharType="end"/>
      </w:r>
    </w:p>
    <w:p w14:paraId="63125663" w14:textId="06E6D32A" w:rsidR="00F341E9" w:rsidRPr="00E04B87" w:rsidRDefault="00F341E9">
      <w:pPr>
        <w:pStyle w:val="TOC2"/>
        <w:rPr>
          <w:rFonts w:eastAsiaTheme="minorEastAsia"/>
          <w:szCs w:val="22"/>
          <w:lang w:val="fr-CA" w:eastAsia="fr-CA"/>
        </w:rPr>
      </w:pPr>
      <w:r w:rsidRPr="00E04B87">
        <w:rPr>
          <w:lang w:val="fr-CA"/>
        </w:rPr>
        <w:t>4.6</w:t>
      </w:r>
      <w:r w:rsidRPr="00E04B87">
        <w:rPr>
          <w:rFonts w:eastAsiaTheme="minorEastAsia"/>
          <w:szCs w:val="22"/>
          <w:lang w:val="fr-CA" w:eastAsia="fr-CA"/>
        </w:rPr>
        <w:tab/>
      </w:r>
      <w:r w:rsidRPr="00E04B87">
        <w:rPr>
          <w:lang w:val="fr-CA"/>
        </w:rPr>
        <w:t>Exactitude</w:t>
      </w:r>
      <w:r w:rsidRPr="00E04B87">
        <w:rPr>
          <w:lang w:val="fr-CA"/>
        </w:rPr>
        <w:tab/>
      </w:r>
      <w:r w:rsidRPr="00E04B87">
        <w:rPr>
          <w:lang w:val="fr-CA"/>
        </w:rPr>
        <w:fldChar w:fldCharType="begin"/>
      </w:r>
      <w:r w:rsidRPr="00E04B87">
        <w:rPr>
          <w:lang w:val="fr-CA"/>
        </w:rPr>
        <w:instrText xml:space="preserve"> PAGEREF _Toc17376456 \h </w:instrText>
      </w:r>
      <w:r w:rsidRPr="00E04B87">
        <w:rPr>
          <w:lang w:val="fr-CA"/>
        </w:rPr>
      </w:r>
      <w:r w:rsidRPr="00E04B87">
        <w:rPr>
          <w:lang w:val="fr-CA"/>
        </w:rPr>
        <w:fldChar w:fldCharType="separate"/>
      </w:r>
      <w:r w:rsidR="000B7184">
        <w:rPr>
          <w:lang w:val="fr-CA"/>
        </w:rPr>
        <w:t>27</w:t>
      </w:r>
      <w:r w:rsidRPr="00E04B87">
        <w:rPr>
          <w:lang w:val="fr-CA"/>
        </w:rPr>
        <w:fldChar w:fldCharType="end"/>
      </w:r>
    </w:p>
    <w:p w14:paraId="5189022F" w14:textId="03DA3994" w:rsidR="00F341E9" w:rsidRPr="00E04B87" w:rsidRDefault="00F341E9">
      <w:pPr>
        <w:pStyle w:val="TOC2"/>
        <w:rPr>
          <w:rFonts w:eastAsiaTheme="minorEastAsia"/>
          <w:szCs w:val="22"/>
          <w:lang w:val="fr-CA" w:eastAsia="fr-CA"/>
        </w:rPr>
      </w:pPr>
      <w:r w:rsidRPr="00E04B87">
        <w:rPr>
          <w:lang w:val="fr-CA"/>
        </w:rPr>
        <w:t>4.7</w:t>
      </w:r>
      <w:r w:rsidRPr="00E04B87">
        <w:rPr>
          <w:rFonts w:eastAsiaTheme="minorEastAsia"/>
          <w:szCs w:val="22"/>
          <w:lang w:val="fr-CA" w:eastAsia="fr-CA"/>
        </w:rPr>
        <w:tab/>
      </w:r>
      <w:r w:rsidRPr="00E04B87">
        <w:rPr>
          <w:lang w:val="fr-CA"/>
        </w:rPr>
        <w:t>Protection</w:t>
      </w:r>
      <w:r w:rsidRPr="00E04B87">
        <w:rPr>
          <w:lang w:val="fr-CA"/>
        </w:rPr>
        <w:tab/>
      </w:r>
      <w:r w:rsidRPr="00E04B87">
        <w:rPr>
          <w:lang w:val="fr-CA"/>
        </w:rPr>
        <w:fldChar w:fldCharType="begin"/>
      </w:r>
      <w:r w:rsidRPr="00E04B87">
        <w:rPr>
          <w:lang w:val="fr-CA"/>
        </w:rPr>
        <w:instrText xml:space="preserve"> PAGEREF _Toc17376457 \h </w:instrText>
      </w:r>
      <w:r w:rsidRPr="00E04B87">
        <w:rPr>
          <w:lang w:val="fr-CA"/>
        </w:rPr>
      </w:r>
      <w:r w:rsidRPr="00E04B87">
        <w:rPr>
          <w:lang w:val="fr-CA"/>
        </w:rPr>
        <w:fldChar w:fldCharType="separate"/>
      </w:r>
      <w:r w:rsidR="000B7184">
        <w:rPr>
          <w:lang w:val="fr-CA"/>
        </w:rPr>
        <w:t>27</w:t>
      </w:r>
      <w:r w:rsidRPr="00E04B87">
        <w:rPr>
          <w:lang w:val="fr-CA"/>
        </w:rPr>
        <w:fldChar w:fldCharType="end"/>
      </w:r>
    </w:p>
    <w:p w14:paraId="1025A656" w14:textId="4C68A7A5" w:rsidR="00F341E9" w:rsidRPr="00E04B87" w:rsidRDefault="00F341E9">
      <w:pPr>
        <w:pStyle w:val="TOC2"/>
        <w:rPr>
          <w:rFonts w:eastAsiaTheme="minorEastAsia"/>
          <w:szCs w:val="22"/>
          <w:lang w:val="fr-CA" w:eastAsia="fr-CA"/>
        </w:rPr>
      </w:pPr>
      <w:r w:rsidRPr="00E04B87">
        <w:rPr>
          <w:lang w:val="fr-CA"/>
        </w:rPr>
        <w:t>4.8</w:t>
      </w:r>
      <w:r w:rsidRPr="00E04B87">
        <w:rPr>
          <w:rFonts w:eastAsiaTheme="minorEastAsia"/>
          <w:szCs w:val="22"/>
          <w:lang w:val="fr-CA" w:eastAsia="fr-CA"/>
        </w:rPr>
        <w:tab/>
      </w:r>
      <w:r w:rsidRPr="00E04B87">
        <w:rPr>
          <w:lang w:val="fr-CA"/>
        </w:rPr>
        <w:t>Ouverture</w:t>
      </w:r>
      <w:r w:rsidRPr="00E04B87">
        <w:rPr>
          <w:lang w:val="fr-CA"/>
        </w:rPr>
        <w:tab/>
      </w:r>
      <w:r w:rsidRPr="00E04B87">
        <w:rPr>
          <w:lang w:val="fr-CA"/>
        </w:rPr>
        <w:fldChar w:fldCharType="begin"/>
      </w:r>
      <w:r w:rsidRPr="00E04B87">
        <w:rPr>
          <w:lang w:val="fr-CA"/>
        </w:rPr>
        <w:instrText xml:space="preserve"> PAGEREF _Toc17376458 \h </w:instrText>
      </w:r>
      <w:r w:rsidRPr="00E04B87">
        <w:rPr>
          <w:lang w:val="fr-CA"/>
        </w:rPr>
      </w:r>
      <w:r w:rsidRPr="00E04B87">
        <w:rPr>
          <w:lang w:val="fr-CA"/>
        </w:rPr>
        <w:fldChar w:fldCharType="separate"/>
      </w:r>
      <w:r w:rsidR="000B7184">
        <w:rPr>
          <w:lang w:val="fr-CA"/>
        </w:rPr>
        <w:t>27</w:t>
      </w:r>
      <w:r w:rsidRPr="00E04B87">
        <w:rPr>
          <w:lang w:val="fr-CA"/>
        </w:rPr>
        <w:fldChar w:fldCharType="end"/>
      </w:r>
    </w:p>
    <w:p w14:paraId="0F6ADBE1" w14:textId="670505B9" w:rsidR="00F341E9" w:rsidRPr="00E04B87" w:rsidRDefault="00F341E9">
      <w:pPr>
        <w:pStyle w:val="TOC2"/>
        <w:rPr>
          <w:rFonts w:eastAsiaTheme="minorEastAsia"/>
          <w:szCs w:val="22"/>
          <w:lang w:val="fr-CA" w:eastAsia="fr-CA"/>
        </w:rPr>
      </w:pPr>
      <w:r w:rsidRPr="00E04B87">
        <w:rPr>
          <w:lang w:val="fr-CA"/>
        </w:rPr>
        <w:t>4.9</w:t>
      </w:r>
      <w:r w:rsidRPr="00E04B87">
        <w:rPr>
          <w:rFonts w:eastAsiaTheme="minorEastAsia"/>
          <w:szCs w:val="22"/>
          <w:lang w:val="fr-CA" w:eastAsia="fr-CA"/>
        </w:rPr>
        <w:tab/>
      </w:r>
      <w:r w:rsidRPr="00E04B87">
        <w:rPr>
          <w:lang w:val="fr-CA"/>
        </w:rPr>
        <w:t>Accès individuel</w:t>
      </w:r>
      <w:r w:rsidRPr="00E04B87">
        <w:rPr>
          <w:lang w:val="fr-CA"/>
        </w:rPr>
        <w:tab/>
      </w:r>
      <w:r w:rsidRPr="00E04B87">
        <w:rPr>
          <w:lang w:val="fr-CA"/>
        </w:rPr>
        <w:fldChar w:fldCharType="begin"/>
      </w:r>
      <w:r w:rsidRPr="00E04B87">
        <w:rPr>
          <w:lang w:val="fr-CA"/>
        </w:rPr>
        <w:instrText xml:space="preserve"> PAGEREF _Toc17376459 \h </w:instrText>
      </w:r>
      <w:r w:rsidRPr="00E04B87">
        <w:rPr>
          <w:lang w:val="fr-CA"/>
        </w:rPr>
      </w:r>
      <w:r w:rsidRPr="00E04B87">
        <w:rPr>
          <w:lang w:val="fr-CA"/>
        </w:rPr>
        <w:fldChar w:fldCharType="separate"/>
      </w:r>
      <w:r w:rsidR="000B7184">
        <w:rPr>
          <w:lang w:val="fr-CA"/>
        </w:rPr>
        <w:t>28</w:t>
      </w:r>
      <w:r w:rsidRPr="00E04B87">
        <w:rPr>
          <w:lang w:val="fr-CA"/>
        </w:rPr>
        <w:fldChar w:fldCharType="end"/>
      </w:r>
    </w:p>
    <w:p w14:paraId="118207C7" w14:textId="52486622" w:rsidR="00F341E9" w:rsidRPr="00E04B87" w:rsidRDefault="00F341E9">
      <w:pPr>
        <w:pStyle w:val="TOC2"/>
        <w:rPr>
          <w:rFonts w:eastAsiaTheme="minorEastAsia"/>
          <w:szCs w:val="22"/>
          <w:lang w:val="fr-CA" w:eastAsia="fr-CA"/>
        </w:rPr>
      </w:pPr>
      <w:r w:rsidRPr="00E04B87">
        <w:rPr>
          <w:lang w:val="fr-CA"/>
        </w:rPr>
        <w:t>4.10</w:t>
      </w:r>
      <w:r w:rsidRPr="00E04B87">
        <w:rPr>
          <w:rFonts w:eastAsiaTheme="minorEastAsia"/>
          <w:szCs w:val="22"/>
          <w:lang w:val="fr-CA" w:eastAsia="fr-CA"/>
        </w:rPr>
        <w:tab/>
      </w:r>
      <w:r w:rsidRPr="00E04B87">
        <w:rPr>
          <w:lang w:val="fr-CA"/>
        </w:rPr>
        <w:t>Plaintes relatives à la conformité</w:t>
      </w:r>
      <w:r w:rsidRPr="00E04B87">
        <w:rPr>
          <w:lang w:val="fr-CA"/>
        </w:rPr>
        <w:tab/>
      </w:r>
      <w:r w:rsidRPr="00E04B87">
        <w:rPr>
          <w:lang w:val="fr-CA"/>
        </w:rPr>
        <w:fldChar w:fldCharType="begin"/>
      </w:r>
      <w:r w:rsidRPr="00E04B87">
        <w:rPr>
          <w:lang w:val="fr-CA"/>
        </w:rPr>
        <w:instrText xml:space="preserve"> PAGEREF _Toc17376460 \h </w:instrText>
      </w:r>
      <w:r w:rsidRPr="00E04B87">
        <w:rPr>
          <w:lang w:val="fr-CA"/>
        </w:rPr>
      </w:r>
      <w:r w:rsidRPr="00E04B87">
        <w:rPr>
          <w:lang w:val="fr-CA"/>
        </w:rPr>
        <w:fldChar w:fldCharType="separate"/>
      </w:r>
      <w:r w:rsidR="000B7184">
        <w:rPr>
          <w:lang w:val="fr-CA"/>
        </w:rPr>
        <w:t>29</w:t>
      </w:r>
      <w:r w:rsidRPr="00E04B87">
        <w:rPr>
          <w:lang w:val="fr-CA"/>
        </w:rPr>
        <w:fldChar w:fldCharType="end"/>
      </w:r>
    </w:p>
    <w:p w14:paraId="10C3CEF7" w14:textId="2E9FBA54" w:rsidR="001A0819" w:rsidRPr="00E04B87" w:rsidRDefault="00E51E29" w:rsidP="001A0819">
      <w:pPr>
        <w:rPr>
          <w:lang w:val="fr-CA"/>
        </w:rPr>
      </w:pPr>
      <w:r w:rsidRPr="00E04B87">
        <w:rPr>
          <w:caps/>
          <w:noProof/>
          <w:sz w:val="24"/>
          <w:lang w:val="fr-CA"/>
        </w:rPr>
        <w:fldChar w:fldCharType="end"/>
      </w:r>
    </w:p>
    <w:p w14:paraId="42E79303" w14:textId="77777777" w:rsidR="001A0819" w:rsidRPr="00E04B87" w:rsidRDefault="005E3712" w:rsidP="005E3712">
      <w:pPr>
        <w:pStyle w:val="Heading1"/>
        <w:rPr>
          <w:lang w:val="fr-CA"/>
        </w:rPr>
      </w:pPr>
      <w:r w:rsidRPr="00E04B87">
        <w:rPr>
          <w:lang w:val="fr-CA"/>
        </w:rPr>
        <w:br w:type="page"/>
      </w:r>
      <w:bookmarkStart w:id="29" w:name="_Toc17376435"/>
      <w:r w:rsidR="001A0819" w:rsidRPr="00E04B87">
        <w:rPr>
          <w:lang w:val="fr-CA"/>
        </w:rPr>
        <w:lastRenderedPageBreak/>
        <w:t>D</w:t>
      </w:r>
      <w:r w:rsidR="00324936" w:rsidRPr="00E04B87">
        <w:rPr>
          <w:lang w:val="fr-CA"/>
        </w:rPr>
        <w:t>É</w:t>
      </w:r>
      <w:r w:rsidR="001A0819" w:rsidRPr="00E04B87">
        <w:rPr>
          <w:lang w:val="fr-CA"/>
        </w:rPr>
        <w:t>FINITIONS</w:t>
      </w:r>
      <w:bookmarkEnd w:id="29"/>
    </w:p>
    <w:p w14:paraId="48FFC1E7" w14:textId="77777777" w:rsidR="00324936" w:rsidRPr="00E04B87" w:rsidRDefault="00324936" w:rsidP="00324936">
      <w:pPr>
        <w:ind w:left="4050" w:hanging="4050"/>
        <w:rPr>
          <w:lang w:val="fr-CA"/>
        </w:rPr>
      </w:pPr>
      <w:r w:rsidRPr="00E04B87">
        <w:rPr>
          <w:lang w:val="fr-CA"/>
        </w:rPr>
        <w:t>« </w:t>
      </w:r>
      <w:proofErr w:type="gramStart"/>
      <w:r w:rsidRPr="00E04B87">
        <w:rPr>
          <w:lang w:val="fr-CA"/>
        </w:rPr>
        <w:t>achat</w:t>
      </w:r>
      <w:proofErr w:type="gramEnd"/>
      <w:r w:rsidRPr="00E04B87">
        <w:rPr>
          <w:lang w:val="fr-CA"/>
        </w:rPr>
        <w:t> »</w:t>
      </w:r>
      <w:r w:rsidRPr="00E04B87">
        <w:rPr>
          <w:lang w:val="fr-CA"/>
        </w:rPr>
        <w:tab/>
        <w:t>achat d’un actif ou d’un élément; dans les normes du Conseil de gestion financière des Premières Nations, il est question « d’approvisionnement »</w:t>
      </w:r>
    </w:p>
    <w:p w14:paraId="16BE9AFB" w14:textId="77777777" w:rsidR="00324936" w:rsidRPr="00E04B87" w:rsidRDefault="00324936" w:rsidP="00324936">
      <w:pPr>
        <w:ind w:left="4050" w:hanging="4050"/>
        <w:rPr>
          <w:lang w:val="fr-CA"/>
        </w:rPr>
      </w:pPr>
      <w:r w:rsidRPr="00E04B87">
        <w:rPr>
          <w:lang w:val="fr-CA"/>
        </w:rPr>
        <w:t>« </w:t>
      </w:r>
      <w:proofErr w:type="gramStart"/>
      <w:r w:rsidRPr="00E04B87">
        <w:rPr>
          <w:lang w:val="fr-CA"/>
        </w:rPr>
        <w:t>actif</w:t>
      </w:r>
      <w:proofErr w:type="gramEnd"/>
      <w:r w:rsidRPr="00E04B87">
        <w:rPr>
          <w:lang w:val="fr-CA"/>
        </w:rPr>
        <w:t> »</w:t>
      </w:r>
      <w:r w:rsidRPr="00E04B87">
        <w:rPr>
          <w:lang w:val="fr-CA"/>
        </w:rPr>
        <w:tab/>
        <w:t>tout élément de valeur qui est la propriété de la Première Nation</w:t>
      </w:r>
    </w:p>
    <w:p w14:paraId="294C3D6B" w14:textId="77777777" w:rsidR="00324936" w:rsidRPr="00E04B87" w:rsidRDefault="00324936" w:rsidP="00324936">
      <w:pPr>
        <w:ind w:left="4050" w:hanging="4050"/>
        <w:rPr>
          <w:lang w:val="fr-CA"/>
        </w:rPr>
      </w:pPr>
      <w:r w:rsidRPr="00E04B87">
        <w:rPr>
          <w:lang w:val="fr-CA"/>
        </w:rPr>
        <w:t>« </w:t>
      </w:r>
      <w:proofErr w:type="gramStart"/>
      <w:r w:rsidRPr="00E04B87">
        <w:rPr>
          <w:lang w:val="fr-CA"/>
        </w:rPr>
        <w:t>administrateur</w:t>
      </w:r>
      <w:proofErr w:type="gramEnd"/>
      <w:r w:rsidRPr="00E04B87">
        <w:rPr>
          <w:lang w:val="fr-CA"/>
        </w:rPr>
        <w:t xml:space="preserve"> fiscal »</w:t>
      </w:r>
      <w:r w:rsidRPr="00E04B87">
        <w:rPr>
          <w:lang w:val="fr-CA"/>
        </w:rPr>
        <w:tab/>
        <w:t xml:space="preserve">lorsque la Première Nation perçoit des recettes locales, personne responsable de la gestion quotidienne des recettes locales et du compte de recettes locales </w:t>
      </w:r>
    </w:p>
    <w:p w14:paraId="6CDCE81E" w14:textId="77777777" w:rsidR="00324936" w:rsidRPr="00E04B87" w:rsidRDefault="00324936" w:rsidP="00324936">
      <w:pPr>
        <w:ind w:left="4050" w:hanging="4050"/>
        <w:rPr>
          <w:lang w:val="fr-CA"/>
        </w:rPr>
      </w:pPr>
      <w:r w:rsidRPr="00E04B87">
        <w:rPr>
          <w:lang w:val="fr-CA"/>
        </w:rPr>
        <w:t>« </w:t>
      </w:r>
      <w:proofErr w:type="gramStart"/>
      <w:r w:rsidRPr="00E04B87">
        <w:rPr>
          <w:lang w:val="fr-CA"/>
        </w:rPr>
        <w:t>appel</w:t>
      </w:r>
      <w:proofErr w:type="gramEnd"/>
      <w:r w:rsidRPr="00E04B87">
        <w:rPr>
          <w:lang w:val="fr-CA"/>
        </w:rPr>
        <w:t xml:space="preserve"> de propositions » </w:t>
      </w:r>
      <w:r w:rsidRPr="00E04B87">
        <w:rPr>
          <w:lang w:val="fr-CA"/>
        </w:rPr>
        <w:tab/>
        <w:t>processus de mise en concurrence suivi par le gouvernement d’une Première Nation pour conclure un important contrat de services. Les appels de propositions énoncent les besoins et les modalités déterminés par le gouvernement de la Première Nation et permettent aux sous-traitants potentiels de présenter une proposition de services faisant état de leur expérience, de leurs compétences et de leur capacité de mener à bien le contrat dans le respect des coûts et des échéances précisés</w:t>
      </w:r>
    </w:p>
    <w:p w14:paraId="71C1B437" w14:textId="77777777" w:rsidR="00324936" w:rsidRPr="00E04B87" w:rsidRDefault="00324936" w:rsidP="00324936">
      <w:pPr>
        <w:ind w:left="4050" w:hanging="4050"/>
        <w:rPr>
          <w:lang w:val="fr-CA"/>
        </w:rPr>
      </w:pPr>
      <w:r w:rsidRPr="00E04B87">
        <w:rPr>
          <w:lang w:val="fr-CA"/>
        </w:rPr>
        <w:t>« </w:t>
      </w:r>
      <w:proofErr w:type="gramStart"/>
      <w:r w:rsidRPr="00E04B87">
        <w:rPr>
          <w:lang w:val="fr-CA"/>
        </w:rPr>
        <w:t>arriéré</w:t>
      </w:r>
      <w:proofErr w:type="gramEnd"/>
      <w:r w:rsidRPr="00E04B87">
        <w:rPr>
          <w:lang w:val="fr-CA"/>
        </w:rPr>
        <w:t> »</w:t>
      </w:r>
      <w:r w:rsidRPr="00E04B87">
        <w:rPr>
          <w:lang w:val="fr-CA"/>
        </w:rPr>
        <w:tab/>
        <w:t>montant non payé, dette non remboursée ou obligation non remplie</w:t>
      </w:r>
    </w:p>
    <w:p w14:paraId="2F2BA2C9" w14:textId="77777777" w:rsidR="00324936" w:rsidRPr="00E04B87" w:rsidRDefault="00324936" w:rsidP="00324936">
      <w:pPr>
        <w:ind w:left="4050" w:hanging="4050"/>
        <w:rPr>
          <w:lang w:val="fr-CA"/>
        </w:rPr>
      </w:pPr>
      <w:r w:rsidRPr="00E04B87">
        <w:rPr>
          <w:lang w:val="fr-CA"/>
        </w:rPr>
        <w:t>« </w:t>
      </w:r>
      <w:proofErr w:type="gramStart"/>
      <w:r w:rsidRPr="00E04B87">
        <w:rPr>
          <w:lang w:val="fr-CA"/>
        </w:rPr>
        <w:t>attributions</w:t>
      </w:r>
      <w:proofErr w:type="gramEnd"/>
      <w:r w:rsidRPr="00E04B87">
        <w:rPr>
          <w:lang w:val="fr-CA"/>
        </w:rPr>
        <w:t> »</w:t>
      </w:r>
      <w:r w:rsidRPr="00E04B87">
        <w:rPr>
          <w:lang w:val="fr-CA"/>
        </w:rPr>
        <w:tab/>
      </w:r>
      <w:bookmarkStart w:id="30" w:name="lt_pId198"/>
      <w:r w:rsidRPr="00E04B87">
        <w:rPr>
          <w:lang w:val="fr-CA"/>
        </w:rPr>
        <w:t>énoncé de l’objectif et de la structure d’un projet, d’un comité, d’une réunion ou d’une négociation</w:t>
      </w:r>
      <w:bookmarkEnd w:id="30"/>
    </w:p>
    <w:p w14:paraId="3810B5CA" w14:textId="77777777" w:rsidR="00324936" w:rsidRPr="00E04B87" w:rsidRDefault="00324936" w:rsidP="00324936">
      <w:pPr>
        <w:ind w:left="4050" w:hanging="4050"/>
        <w:rPr>
          <w:lang w:val="fr-CA"/>
        </w:rPr>
      </w:pPr>
      <w:r w:rsidRPr="00E04B87">
        <w:rPr>
          <w:lang w:val="fr-CA"/>
        </w:rPr>
        <w:t>« </w:t>
      </w:r>
      <w:proofErr w:type="gramStart"/>
      <w:r w:rsidRPr="00E04B87">
        <w:rPr>
          <w:lang w:val="fr-CA"/>
        </w:rPr>
        <w:t>autorisation</w:t>
      </w:r>
      <w:proofErr w:type="gramEnd"/>
      <w:r w:rsidRPr="00E04B87">
        <w:rPr>
          <w:lang w:val="fr-CA"/>
        </w:rPr>
        <w:t xml:space="preserve"> de voyage »</w:t>
      </w:r>
      <w:r w:rsidRPr="00E04B87">
        <w:rPr>
          <w:lang w:val="fr-CA"/>
        </w:rPr>
        <w:tab/>
        <w:t xml:space="preserve">voyage officiel pour le compte de la Première Nation préapprouvé par le superviseur immédiat d’une personne; l’autorisation de voyage commence au départ du lieu de travail de la personne (p. ex. le bureau du gouvernement de la Première Nation) jusqu’à sa destination et se termine au retour de cette personne à son lieu de travail </w:t>
      </w:r>
    </w:p>
    <w:p w14:paraId="741AC5C5" w14:textId="77777777" w:rsidR="00324936" w:rsidRPr="00E04B87" w:rsidRDefault="00324936" w:rsidP="00324936">
      <w:pPr>
        <w:ind w:left="4050" w:hanging="4050"/>
        <w:rPr>
          <w:lang w:val="fr-CA"/>
        </w:rPr>
      </w:pPr>
      <w:r w:rsidRPr="00E04B87">
        <w:rPr>
          <w:lang w:val="fr-CA"/>
        </w:rPr>
        <w:t>« </w:t>
      </w:r>
      <w:proofErr w:type="gramStart"/>
      <w:r w:rsidRPr="00E04B87">
        <w:rPr>
          <w:lang w:val="fr-CA"/>
        </w:rPr>
        <w:t>bon</w:t>
      </w:r>
      <w:proofErr w:type="gramEnd"/>
      <w:r w:rsidRPr="00E04B87">
        <w:rPr>
          <w:lang w:val="fr-CA"/>
        </w:rPr>
        <w:t xml:space="preserve"> de commande »</w:t>
      </w:r>
      <w:r w:rsidRPr="00E04B87">
        <w:rPr>
          <w:lang w:val="fr-CA"/>
        </w:rPr>
        <w:tab/>
        <w:t>document énonçant l’intention d’un acheteur d’acheter quelque chose à un vendeur et montrant le détail de ce que l’acheteur souhaite acheter</w:t>
      </w:r>
    </w:p>
    <w:p w14:paraId="42220A08" w14:textId="77777777" w:rsidR="00324936" w:rsidRPr="00E04B87" w:rsidRDefault="00324936" w:rsidP="00324936">
      <w:pPr>
        <w:ind w:left="4050" w:hanging="4050"/>
        <w:rPr>
          <w:lang w:val="fr-CA"/>
        </w:rPr>
      </w:pPr>
      <w:r w:rsidRPr="00E04B87">
        <w:rPr>
          <w:lang w:val="fr-CA"/>
        </w:rPr>
        <w:t>« </w:t>
      </w:r>
      <w:proofErr w:type="gramStart"/>
      <w:r w:rsidRPr="00E04B87">
        <w:rPr>
          <w:lang w:val="fr-CA"/>
        </w:rPr>
        <w:t>budget</w:t>
      </w:r>
      <w:proofErr w:type="gramEnd"/>
      <w:r w:rsidRPr="00E04B87">
        <w:rPr>
          <w:lang w:val="fr-CA"/>
        </w:rPr>
        <w:t> »</w:t>
      </w:r>
      <w:r w:rsidRPr="00E04B87">
        <w:rPr>
          <w:lang w:val="fr-CA"/>
        </w:rPr>
        <w:tab/>
        <w:t>plan ou aperçu des rentrées et sorties de fonds prévues pour une période donnée</w:t>
      </w:r>
    </w:p>
    <w:p w14:paraId="2EE7AB4D" w14:textId="77777777" w:rsidR="00324936" w:rsidRPr="00E04B87" w:rsidRDefault="00324936" w:rsidP="00324936">
      <w:pPr>
        <w:ind w:left="4050" w:hanging="4050"/>
        <w:rPr>
          <w:lang w:val="fr-CA"/>
        </w:rPr>
      </w:pPr>
      <w:r w:rsidRPr="00E04B87">
        <w:rPr>
          <w:lang w:val="fr-CA"/>
        </w:rPr>
        <w:t>« </w:t>
      </w:r>
      <w:proofErr w:type="gramStart"/>
      <w:r w:rsidRPr="00E04B87">
        <w:rPr>
          <w:lang w:val="fr-CA"/>
        </w:rPr>
        <w:t>classification</w:t>
      </w:r>
      <w:proofErr w:type="gramEnd"/>
      <w:r w:rsidRPr="00E04B87">
        <w:rPr>
          <w:lang w:val="fr-CA"/>
        </w:rPr>
        <w:t xml:space="preserve"> » </w:t>
      </w:r>
      <w:r w:rsidRPr="00E04B87">
        <w:rPr>
          <w:lang w:val="fr-CA"/>
        </w:rPr>
        <w:tab/>
        <w:t xml:space="preserve">processus d’organisation des documents en catégories </w:t>
      </w:r>
    </w:p>
    <w:p w14:paraId="08A36D03" w14:textId="77777777" w:rsidR="00324936" w:rsidRPr="00E04B87" w:rsidRDefault="00324936" w:rsidP="00324936">
      <w:pPr>
        <w:ind w:left="4050" w:hanging="4050"/>
        <w:rPr>
          <w:lang w:val="fr-CA"/>
        </w:rPr>
      </w:pPr>
      <w:r w:rsidRPr="00E04B87">
        <w:rPr>
          <w:lang w:val="fr-CA"/>
        </w:rPr>
        <w:t>« </w:t>
      </w:r>
      <w:proofErr w:type="gramStart"/>
      <w:r w:rsidRPr="00E04B87">
        <w:rPr>
          <w:lang w:val="fr-CA"/>
        </w:rPr>
        <w:t>comité</w:t>
      </w:r>
      <w:proofErr w:type="gramEnd"/>
      <w:r w:rsidRPr="00E04B87">
        <w:rPr>
          <w:lang w:val="fr-CA"/>
        </w:rPr>
        <w:t xml:space="preserve"> permanent »</w:t>
      </w:r>
      <w:r w:rsidRPr="00E04B87">
        <w:rPr>
          <w:lang w:val="fr-CA"/>
        </w:rPr>
        <w:tab/>
        <w:t>comité dont l’objectif est continu</w:t>
      </w:r>
    </w:p>
    <w:p w14:paraId="0099BCDF" w14:textId="77777777" w:rsidR="00324936" w:rsidRPr="00E04B87" w:rsidRDefault="00324936" w:rsidP="00324936">
      <w:pPr>
        <w:ind w:left="4050" w:hanging="4050"/>
        <w:rPr>
          <w:lang w:val="fr-CA"/>
        </w:rPr>
      </w:pPr>
      <w:r w:rsidRPr="00E04B87">
        <w:rPr>
          <w:lang w:val="fr-CA"/>
        </w:rPr>
        <w:lastRenderedPageBreak/>
        <w:t>« </w:t>
      </w:r>
      <w:proofErr w:type="gramStart"/>
      <w:r w:rsidRPr="00E04B87">
        <w:rPr>
          <w:lang w:val="fr-CA"/>
        </w:rPr>
        <w:t>comité</w:t>
      </w:r>
      <w:proofErr w:type="gramEnd"/>
      <w:r w:rsidRPr="00E04B87">
        <w:rPr>
          <w:lang w:val="fr-CA"/>
        </w:rPr>
        <w:t xml:space="preserve"> spécial »</w:t>
      </w:r>
      <w:r w:rsidRPr="00E04B87">
        <w:rPr>
          <w:lang w:val="fr-CA"/>
        </w:rPr>
        <w:tab/>
        <w:t>comité formé à une fin particulière et dissolu une fois l’objectif atteint</w:t>
      </w:r>
    </w:p>
    <w:p w14:paraId="24EF7401" w14:textId="77777777" w:rsidR="00324936" w:rsidRPr="00E04B87" w:rsidRDefault="00324936" w:rsidP="00324936">
      <w:pPr>
        <w:ind w:left="4050" w:hanging="4050"/>
        <w:rPr>
          <w:lang w:val="fr-CA"/>
        </w:rPr>
      </w:pPr>
      <w:r w:rsidRPr="00E04B87">
        <w:rPr>
          <w:lang w:val="fr-CA"/>
        </w:rPr>
        <w:t>« </w:t>
      </w:r>
      <w:proofErr w:type="gramStart"/>
      <w:r w:rsidRPr="00E04B87">
        <w:rPr>
          <w:lang w:val="fr-CA"/>
        </w:rPr>
        <w:t>comité</w:t>
      </w:r>
      <w:proofErr w:type="gramEnd"/>
      <w:r w:rsidRPr="00E04B87">
        <w:rPr>
          <w:lang w:val="fr-CA"/>
        </w:rPr>
        <w:t xml:space="preserve"> » </w:t>
      </w:r>
      <w:r w:rsidRPr="00E04B87">
        <w:rPr>
          <w:lang w:val="fr-CA"/>
        </w:rPr>
        <w:tab/>
        <w:t>groupe de personnes nommées par le conseil de Première Nation pour conseiller le conseil de Première Nation ou pour assumer des responsabilités confiées par le conseil de Première Nation relativement à la prise de décisions, jusqu’à leur démission ou à la dissolution du comité</w:t>
      </w:r>
    </w:p>
    <w:p w14:paraId="11421EA9" w14:textId="77777777" w:rsidR="00324936" w:rsidRPr="00E04B87" w:rsidRDefault="00324936" w:rsidP="00324936">
      <w:pPr>
        <w:ind w:left="4050" w:hanging="4050"/>
        <w:rPr>
          <w:lang w:val="fr-CA"/>
        </w:rPr>
      </w:pPr>
      <w:r w:rsidRPr="00E04B87">
        <w:rPr>
          <w:lang w:val="fr-CA"/>
        </w:rPr>
        <w:t>« </w:t>
      </w:r>
      <w:proofErr w:type="gramStart"/>
      <w:r w:rsidRPr="00E04B87">
        <w:rPr>
          <w:lang w:val="fr-CA"/>
        </w:rPr>
        <w:t>compétences</w:t>
      </w:r>
      <w:proofErr w:type="gramEnd"/>
      <w:r w:rsidRPr="00E04B87">
        <w:rPr>
          <w:lang w:val="fr-CA"/>
        </w:rPr>
        <w:t xml:space="preserve"> financières »</w:t>
      </w:r>
      <w:r w:rsidRPr="00E04B87">
        <w:rPr>
          <w:lang w:val="fr-CA"/>
        </w:rPr>
        <w:tab/>
        <w:t>capacité de lire et de comprendre les états financiers du gouvernement d’une Première Nation</w:t>
      </w:r>
    </w:p>
    <w:p w14:paraId="309F05A3" w14:textId="77777777" w:rsidR="00324936" w:rsidRPr="00E04B87" w:rsidRDefault="00324936" w:rsidP="00324936">
      <w:pPr>
        <w:ind w:left="4050" w:hanging="4050"/>
        <w:rPr>
          <w:lang w:val="fr-CA"/>
        </w:rPr>
      </w:pPr>
      <w:bookmarkStart w:id="31" w:name="lt_pId080"/>
      <w:r w:rsidRPr="00E04B87">
        <w:rPr>
          <w:lang w:val="fr-CA"/>
        </w:rPr>
        <w:t>« </w:t>
      </w:r>
      <w:proofErr w:type="gramStart"/>
      <w:r w:rsidRPr="00E04B87">
        <w:rPr>
          <w:lang w:val="fr-CA"/>
        </w:rPr>
        <w:t>conflit</w:t>
      </w:r>
      <w:proofErr w:type="gramEnd"/>
      <w:r w:rsidRPr="00E04B87">
        <w:rPr>
          <w:lang w:val="fr-CA"/>
        </w:rPr>
        <w:t xml:space="preserve"> d’intérêts »</w:t>
      </w:r>
      <w:bookmarkEnd w:id="31"/>
      <w:r w:rsidRPr="00E04B87">
        <w:rPr>
          <w:lang w:val="fr-CA"/>
        </w:rPr>
        <w:tab/>
      </w:r>
      <w:bookmarkStart w:id="32" w:name="lt_pId081"/>
      <w:r w:rsidRPr="00E04B87">
        <w:rPr>
          <w:lang w:val="fr-CA"/>
        </w:rPr>
        <w:t xml:space="preserve">situation menant à un gain personnel aux dépens </w:t>
      </w:r>
      <w:bookmarkEnd w:id="32"/>
      <w:r w:rsidRPr="00E04B87">
        <w:rPr>
          <w:lang w:val="fr-CA"/>
        </w:rPr>
        <w:t>d’autrui</w:t>
      </w:r>
    </w:p>
    <w:p w14:paraId="5FA7FDF1" w14:textId="77777777" w:rsidR="00324936" w:rsidRPr="00E04B87" w:rsidRDefault="00324936" w:rsidP="00324936">
      <w:pPr>
        <w:ind w:left="4050" w:hanging="4050"/>
        <w:rPr>
          <w:lang w:val="fr-CA"/>
        </w:rPr>
      </w:pPr>
      <w:r w:rsidRPr="00E04B87">
        <w:rPr>
          <w:lang w:val="fr-CA"/>
        </w:rPr>
        <w:t>« </w:t>
      </w:r>
      <w:proofErr w:type="gramStart"/>
      <w:r w:rsidRPr="00E04B87">
        <w:rPr>
          <w:lang w:val="fr-CA"/>
        </w:rPr>
        <w:t>conseil</w:t>
      </w:r>
      <w:proofErr w:type="gramEnd"/>
      <w:r w:rsidRPr="00E04B87">
        <w:rPr>
          <w:lang w:val="fr-CA"/>
        </w:rPr>
        <w:t xml:space="preserve"> de Première Nation »</w:t>
      </w:r>
      <w:r w:rsidRPr="00E04B87">
        <w:rPr>
          <w:lang w:val="fr-CA"/>
        </w:rPr>
        <w:tab/>
        <w:t>représentants officiels de la Première Nation élus ou nommés comprenant le chef de la Première Nation et les membres du conseil de Première Nation ainsi que les désignations équivalentes utilisées par la Première Nation</w:t>
      </w:r>
    </w:p>
    <w:p w14:paraId="4AC5DFD4" w14:textId="77777777" w:rsidR="00324936" w:rsidRPr="00E04B87" w:rsidRDefault="00324936" w:rsidP="00324936">
      <w:pPr>
        <w:ind w:left="4050" w:hanging="4050"/>
        <w:rPr>
          <w:lang w:val="fr-CA"/>
        </w:rPr>
      </w:pPr>
      <w:r w:rsidRPr="00E04B87">
        <w:rPr>
          <w:lang w:val="fr-CA"/>
        </w:rPr>
        <w:t>« </w:t>
      </w:r>
      <w:proofErr w:type="gramStart"/>
      <w:r w:rsidRPr="00E04B87">
        <w:rPr>
          <w:lang w:val="fr-CA"/>
        </w:rPr>
        <w:t>contrat</w:t>
      </w:r>
      <w:proofErr w:type="gramEnd"/>
      <w:r w:rsidRPr="00E04B87">
        <w:rPr>
          <w:lang w:val="fr-CA"/>
        </w:rPr>
        <w:t> »</w:t>
      </w:r>
      <w:r w:rsidRPr="00E04B87">
        <w:rPr>
          <w:lang w:val="fr-CA"/>
        </w:rPr>
        <w:tab/>
        <w:t>entente juridiquement contraignante entre deux parties</w:t>
      </w:r>
    </w:p>
    <w:p w14:paraId="24289EEF" w14:textId="77777777" w:rsidR="00324936" w:rsidRPr="00E04B87" w:rsidRDefault="00324936" w:rsidP="00324936">
      <w:pPr>
        <w:ind w:left="4050" w:hanging="4050"/>
        <w:rPr>
          <w:lang w:val="fr-CA"/>
        </w:rPr>
      </w:pPr>
      <w:r w:rsidRPr="00E04B87">
        <w:rPr>
          <w:lang w:val="fr-CA"/>
        </w:rPr>
        <w:t>« </w:t>
      </w:r>
      <w:proofErr w:type="gramStart"/>
      <w:r w:rsidRPr="00E04B87">
        <w:rPr>
          <w:lang w:val="fr-CA"/>
        </w:rPr>
        <w:t>contrôle</w:t>
      </w:r>
      <w:proofErr w:type="gramEnd"/>
      <w:r w:rsidRPr="00E04B87">
        <w:rPr>
          <w:lang w:val="fr-CA"/>
        </w:rPr>
        <w:t> »</w:t>
      </w:r>
      <w:r w:rsidRPr="00E04B87">
        <w:rPr>
          <w:lang w:val="fr-CA"/>
        </w:rPr>
        <w:tab/>
        <w:t>politique, procédure ou processus mis en œuvre pour gérer l’administration d’une Première Nation</w:t>
      </w:r>
    </w:p>
    <w:p w14:paraId="45660546" w14:textId="77777777" w:rsidR="00324936" w:rsidRPr="00E04B87" w:rsidRDefault="00324936" w:rsidP="00324936">
      <w:pPr>
        <w:ind w:left="4050" w:hanging="4050"/>
        <w:rPr>
          <w:lang w:val="fr-CA"/>
        </w:rPr>
      </w:pPr>
      <w:r w:rsidRPr="00E04B87">
        <w:rPr>
          <w:lang w:val="fr-CA"/>
        </w:rPr>
        <w:t>« </w:t>
      </w:r>
      <w:proofErr w:type="gramStart"/>
      <w:r w:rsidRPr="00E04B87">
        <w:rPr>
          <w:lang w:val="fr-CA"/>
        </w:rPr>
        <w:t>coût</w:t>
      </w:r>
      <w:proofErr w:type="gramEnd"/>
      <w:r w:rsidRPr="00E04B87">
        <w:rPr>
          <w:lang w:val="fr-CA"/>
        </w:rPr>
        <w:t> »</w:t>
      </w:r>
      <w:r w:rsidRPr="00E04B87">
        <w:rPr>
          <w:lang w:val="fr-CA"/>
        </w:rPr>
        <w:tab/>
        <w:t>somme d’argent à payer ou à dépenser pour obtenir quelque chose</w:t>
      </w:r>
    </w:p>
    <w:p w14:paraId="75E52F16" w14:textId="77777777" w:rsidR="00324936" w:rsidRPr="00E04B87" w:rsidRDefault="00324936" w:rsidP="00324936">
      <w:pPr>
        <w:spacing w:after="0"/>
        <w:ind w:left="4048" w:hanging="4048"/>
        <w:rPr>
          <w:lang w:val="fr-CA"/>
        </w:rPr>
      </w:pPr>
      <w:r w:rsidRPr="00E04B87">
        <w:rPr>
          <w:lang w:val="fr-CA"/>
        </w:rPr>
        <w:t>« </w:t>
      </w:r>
      <w:proofErr w:type="gramStart"/>
      <w:r w:rsidRPr="00E04B87">
        <w:rPr>
          <w:lang w:val="fr-CA"/>
        </w:rPr>
        <w:t>critère</w:t>
      </w:r>
      <w:proofErr w:type="gramEnd"/>
      <w:r w:rsidRPr="00E04B87">
        <w:rPr>
          <w:lang w:val="fr-CA"/>
        </w:rPr>
        <w:t xml:space="preserve"> de comptabilisation </w:t>
      </w:r>
    </w:p>
    <w:p w14:paraId="744C44F7" w14:textId="77777777" w:rsidR="00324936" w:rsidRPr="00E04B87" w:rsidRDefault="00324936" w:rsidP="00324936">
      <w:pPr>
        <w:spacing w:before="0"/>
        <w:ind w:left="4048" w:hanging="4048"/>
        <w:rPr>
          <w:lang w:val="fr-CA"/>
        </w:rPr>
      </w:pPr>
      <w:proofErr w:type="gramStart"/>
      <w:r w:rsidRPr="00E04B87">
        <w:rPr>
          <w:lang w:val="fr-CA"/>
        </w:rPr>
        <w:t>d’une</w:t>
      </w:r>
      <w:proofErr w:type="gramEnd"/>
      <w:r w:rsidRPr="00E04B87">
        <w:rPr>
          <w:lang w:val="fr-CA"/>
        </w:rPr>
        <w:t xml:space="preserve"> immobilisation »</w:t>
      </w:r>
      <w:r w:rsidRPr="00E04B87">
        <w:rPr>
          <w:lang w:val="fr-CA"/>
        </w:rPr>
        <w:tab/>
        <w:t>critère servant à établir le seuil à partir duquel une immobilisation corporelle doit être inscrite au registre des immobilisations corporelles</w:t>
      </w:r>
    </w:p>
    <w:p w14:paraId="2CFEC02D" w14:textId="77777777" w:rsidR="00324936" w:rsidRPr="00E04B87" w:rsidRDefault="00324936" w:rsidP="00324936">
      <w:pPr>
        <w:ind w:left="4050" w:hanging="4050"/>
        <w:rPr>
          <w:lang w:val="fr-CA"/>
        </w:rPr>
      </w:pPr>
      <w:r w:rsidRPr="00E04B87">
        <w:rPr>
          <w:lang w:val="fr-CA"/>
        </w:rPr>
        <w:t xml:space="preserve"> « </w:t>
      </w:r>
      <w:proofErr w:type="gramStart"/>
      <w:r w:rsidRPr="00E04B87">
        <w:rPr>
          <w:lang w:val="fr-CA"/>
        </w:rPr>
        <w:t>critères</w:t>
      </w:r>
      <w:proofErr w:type="gramEnd"/>
      <w:r w:rsidRPr="00E04B87">
        <w:rPr>
          <w:lang w:val="fr-CA"/>
        </w:rPr>
        <w:t xml:space="preserve"> d’admissibilité » </w:t>
      </w:r>
      <w:r w:rsidRPr="00E04B87">
        <w:rPr>
          <w:lang w:val="fr-CA"/>
        </w:rPr>
        <w:tab/>
        <w:t>exigences établies par le conseil de Première Nation qui doivent être respectées par une personne afin d’être considérée comme indépendante et admissible à faire partie du Comité des finances et d’audit</w:t>
      </w:r>
    </w:p>
    <w:p w14:paraId="441F4F58" w14:textId="77777777" w:rsidR="00324936" w:rsidRPr="00E04B87" w:rsidRDefault="00324936" w:rsidP="00324936">
      <w:pPr>
        <w:spacing w:after="0"/>
        <w:ind w:left="4048" w:hanging="4048"/>
        <w:rPr>
          <w:lang w:val="fr-CA"/>
        </w:rPr>
      </w:pPr>
      <w:bookmarkStart w:id="33" w:name="lt_pId076"/>
      <w:r w:rsidRPr="00E04B87">
        <w:rPr>
          <w:lang w:val="fr-CA"/>
        </w:rPr>
        <w:t>« </w:t>
      </w:r>
      <w:proofErr w:type="gramStart"/>
      <w:r w:rsidRPr="00E04B87">
        <w:rPr>
          <w:lang w:val="fr-CA"/>
        </w:rPr>
        <w:t>déclaration</w:t>
      </w:r>
      <w:proofErr w:type="gramEnd"/>
      <w:r w:rsidRPr="00E04B87">
        <w:rPr>
          <w:lang w:val="fr-CA"/>
        </w:rPr>
        <w:t xml:space="preserve"> relative au code </w:t>
      </w:r>
    </w:p>
    <w:p w14:paraId="0033CA60" w14:textId="77777777" w:rsidR="00324936" w:rsidRPr="00E04B87" w:rsidRDefault="00324936" w:rsidP="00324936">
      <w:pPr>
        <w:spacing w:before="0" w:after="0"/>
        <w:ind w:left="4048" w:hanging="4048"/>
        <w:rPr>
          <w:lang w:val="fr-CA"/>
        </w:rPr>
      </w:pPr>
      <w:proofErr w:type="gramStart"/>
      <w:r w:rsidRPr="00E04B87">
        <w:rPr>
          <w:lang w:val="fr-CA"/>
        </w:rPr>
        <w:t>de</w:t>
      </w:r>
      <w:proofErr w:type="gramEnd"/>
      <w:r w:rsidRPr="00E04B87">
        <w:rPr>
          <w:lang w:val="fr-CA"/>
        </w:rPr>
        <w:t xml:space="preserve"> conduite</w:t>
      </w:r>
      <w:bookmarkEnd w:id="33"/>
      <w:r w:rsidRPr="00E04B87">
        <w:rPr>
          <w:lang w:val="fr-CA"/>
        </w:rPr>
        <w:t xml:space="preserve"> » </w:t>
      </w:r>
      <w:r w:rsidRPr="00E04B87">
        <w:rPr>
          <w:lang w:val="fr-CA"/>
        </w:rPr>
        <w:tab/>
        <w:t>déclaration que le conseil de Première Nation, les membres de comités, les employés et les sous</w:t>
      </w:r>
      <w:r w:rsidRPr="00E04B87">
        <w:rPr>
          <w:lang w:val="fr-CA"/>
        </w:rPr>
        <w:noBreakHyphen/>
        <w:t>traitants doivent signer une fois par année pour confirmer qu’ils comprennent le code de conduite du gouvernement de la Première Nation et acceptent de s’y conformer</w:t>
      </w:r>
    </w:p>
    <w:p w14:paraId="5DE76B76" w14:textId="77777777" w:rsidR="00324936" w:rsidRPr="00E04B87" w:rsidRDefault="00324936" w:rsidP="00324936">
      <w:pPr>
        <w:ind w:left="4050" w:hanging="4050"/>
        <w:rPr>
          <w:lang w:val="fr-CA"/>
        </w:rPr>
      </w:pPr>
      <w:r w:rsidRPr="00E04B87">
        <w:rPr>
          <w:lang w:val="fr-CA"/>
        </w:rPr>
        <w:lastRenderedPageBreak/>
        <w:t>« </w:t>
      </w:r>
      <w:proofErr w:type="gramStart"/>
      <w:r w:rsidRPr="00E04B87">
        <w:rPr>
          <w:lang w:val="fr-CA"/>
        </w:rPr>
        <w:t>déficit</w:t>
      </w:r>
      <w:proofErr w:type="gramEnd"/>
      <w:r w:rsidRPr="00E04B87">
        <w:rPr>
          <w:lang w:val="fr-CA"/>
        </w:rPr>
        <w:t> »</w:t>
      </w:r>
      <w:r w:rsidRPr="00E04B87">
        <w:rPr>
          <w:lang w:val="fr-CA"/>
        </w:rPr>
        <w:tab/>
        <w:t>manque se produisant lorsqu’une organisation dépense plus d’argent que les sommes dont elle dispose pour une période donnée</w:t>
      </w:r>
    </w:p>
    <w:p w14:paraId="12127C9E" w14:textId="77777777" w:rsidR="00324936" w:rsidRPr="00E04B87" w:rsidRDefault="00324936" w:rsidP="00324936">
      <w:pPr>
        <w:ind w:left="4050" w:hanging="4050"/>
        <w:rPr>
          <w:lang w:val="fr-CA"/>
        </w:rPr>
      </w:pPr>
      <w:r w:rsidRPr="00E04B87">
        <w:rPr>
          <w:lang w:val="fr-CA"/>
        </w:rPr>
        <w:t xml:space="preserve"> « </w:t>
      </w:r>
      <w:proofErr w:type="gramStart"/>
      <w:r w:rsidRPr="00E04B87">
        <w:rPr>
          <w:lang w:val="fr-CA"/>
        </w:rPr>
        <w:t>délégation</w:t>
      </w:r>
      <w:proofErr w:type="gramEnd"/>
      <w:r w:rsidRPr="00E04B87">
        <w:rPr>
          <w:lang w:val="fr-CA"/>
        </w:rPr>
        <w:t> »</w:t>
      </w:r>
      <w:r w:rsidRPr="00E04B87">
        <w:rPr>
          <w:lang w:val="fr-CA"/>
        </w:rPr>
        <w:tab/>
        <w:t>transfert de responsabilités précises d’une personne à une autre</w:t>
      </w:r>
    </w:p>
    <w:p w14:paraId="6A4366BA" w14:textId="77777777" w:rsidR="00324936" w:rsidRPr="00E04B87" w:rsidRDefault="00324936" w:rsidP="00324936">
      <w:pPr>
        <w:ind w:left="4050" w:hanging="4050"/>
        <w:rPr>
          <w:lang w:val="fr-CA"/>
        </w:rPr>
      </w:pPr>
      <w:r w:rsidRPr="00E04B87">
        <w:rPr>
          <w:lang w:val="fr-CA"/>
        </w:rPr>
        <w:t>« </w:t>
      </w:r>
      <w:proofErr w:type="gramStart"/>
      <w:r w:rsidRPr="00E04B87">
        <w:rPr>
          <w:lang w:val="fr-CA"/>
        </w:rPr>
        <w:t>délégation</w:t>
      </w:r>
      <w:proofErr w:type="gramEnd"/>
      <w:r w:rsidRPr="00E04B87">
        <w:rPr>
          <w:lang w:val="fr-CA"/>
        </w:rPr>
        <w:t xml:space="preserve"> de pouvoirs » </w:t>
      </w:r>
      <w:r w:rsidRPr="00E04B87">
        <w:rPr>
          <w:lang w:val="fr-CA"/>
        </w:rPr>
        <w:tab/>
        <w:t>transfert de pouvoirs ou de fonctions d’une personne à une autre où la première personne (le « délégateur ») demeure responsable de s’assurer de la bonne exécution des activités</w:t>
      </w:r>
    </w:p>
    <w:p w14:paraId="36C8E9A7" w14:textId="77777777" w:rsidR="00324936" w:rsidRPr="00E04B87" w:rsidRDefault="00324936" w:rsidP="00324936">
      <w:pPr>
        <w:ind w:left="4050" w:hanging="4050"/>
        <w:rPr>
          <w:lang w:val="fr-CA"/>
        </w:rPr>
      </w:pPr>
      <w:r w:rsidRPr="00E04B87">
        <w:rPr>
          <w:lang w:val="fr-CA"/>
        </w:rPr>
        <w:t xml:space="preserve"> « </w:t>
      </w:r>
      <w:proofErr w:type="gramStart"/>
      <w:r w:rsidRPr="00E04B87">
        <w:rPr>
          <w:lang w:val="fr-CA"/>
        </w:rPr>
        <w:t>demande</w:t>
      </w:r>
      <w:proofErr w:type="gramEnd"/>
      <w:r w:rsidRPr="00E04B87">
        <w:rPr>
          <w:lang w:val="fr-CA"/>
        </w:rPr>
        <w:t xml:space="preserve"> » </w:t>
      </w:r>
      <w:r w:rsidRPr="00E04B87">
        <w:rPr>
          <w:lang w:val="fr-CA"/>
        </w:rPr>
        <w:tab/>
        <w:t xml:space="preserve">formulaire utilisé par le gouvernement d’une Première Nation pour l’inscription des dépenses </w:t>
      </w:r>
    </w:p>
    <w:p w14:paraId="54B87DB7" w14:textId="77777777" w:rsidR="00324936" w:rsidRPr="00E04B87" w:rsidRDefault="00324936" w:rsidP="00324936">
      <w:pPr>
        <w:ind w:left="4050" w:hanging="4050"/>
        <w:rPr>
          <w:lang w:val="fr-CA"/>
        </w:rPr>
      </w:pPr>
      <w:r w:rsidRPr="00E04B87">
        <w:rPr>
          <w:lang w:val="fr-CA"/>
        </w:rPr>
        <w:t>« </w:t>
      </w:r>
      <w:proofErr w:type="gramStart"/>
      <w:r w:rsidRPr="00E04B87">
        <w:rPr>
          <w:lang w:val="fr-CA"/>
        </w:rPr>
        <w:t>dépense</w:t>
      </w:r>
      <w:proofErr w:type="gramEnd"/>
      <w:r w:rsidRPr="00E04B87">
        <w:rPr>
          <w:lang w:val="fr-CA"/>
        </w:rPr>
        <w:t> »</w:t>
      </w:r>
      <w:r w:rsidRPr="00E04B87">
        <w:rPr>
          <w:lang w:val="fr-CA"/>
        </w:rPr>
        <w:tab/>
        <w:t>somme d’argent dépensée par le gouvernement d’une Première Nation pour se procurer des biens ou des services</w:t>
      </w:r>
    </w:p>
    <w:p w14:paraId="44BBAB59" w14:textId="77777777" w:rsidR="00324936" w:rsidRPr="00E04B87" w:rsidRDefault="00324936" w:rsidP="00324936">
      <w:pPr>
        <w:ind w:left="4050" w:hanging="4050"/>
        <w:rPr>
          <w:lang w:val="fr-CA"/>
        </w:rPr>
      </w:pPr>
      <w:r w:rsidRPr="00E04B87">
        <w:rPr>
          <w:lang w:val="fr-CA"/>
        </w:rPr>
        <w:t>« </w:t>
      </w:r>
      <w:proofErr w:type="gramStart"/>
      <w:r w:rsidRPr="00E04B87">
        <w:rPr>
          <w:lang w:val="fr-CA"/>
        </w:rPr>
        <w:t>dette</w:t>
      </w:r>
      <w:proofErr w:type="gramEnd"/>
      <w:r w:rsidRPr="00E04B87">
        <w:rPr>
          <w:lang w:val="fr-CA"/>
        </w:rPr>
        <w:t> »</w:t>
      </w:r>
      <w:r w:rsidRPr="00E04B87">
        <w:rPr>
          <w:lang w:val="fr-CA"/>
        </w:rPr>
        <w:tab/>
        <w:t>ce qui est dû à autrui, habituellement une somme d’argent</w:t>
      </w:r>
    </w:p>
    <w:p w14:paraId="6EA95550" w14:textId="77777777" w:rsidR="00324936" w:rsidRPr="00E04B87" w:rsidRDefault="00324936" w:rsidP="00324936">
      <w:pPr>
        <w:ind w:left="4050" w:hanging="4050"/>
        <w:rPr>
          <w:lang w:val="fr-CA"/>
        </w:rPr>
      </w:pPr>
      <w:r w:rsidRPr="00E04B87">
        <w:rPr>
          <w:lang w:val="fr-CA"/>
        </w:rPr>
        <w:t>« </w:t>
      </w:r>
      <w:proofErr w:type="gramStart"/>
      <w:r w:rsidRPr="00E04B87">
        <w:rPr>
          <w:lang w:val="fr-CA"/>
        </w:rPr>
        <w:t>directeur</w:t>
      </w:r>
      <w:proofErr w:type="gramEnd"/>
      <w:r w:rsidRPr="00E04B87">
        <w:rPr>
          <w:lang w:val="fr-CA"/>
        </w:rPr>
        <w:t xml:space="preserve"> des finances »</w:t>
      </w:r>
      <w:r w:rsidRPr="00E04B87">
        <w:rPr>
          <w:lang w:val="fr-CA"/>
        </w:rPr>
        <w:tab/>
        <w:t>personne responsable de la gestion quotidienne des finances de la Première Nation</w:t>
      </w:r>
    </w:p>
    <w:p w14:paraId="713AD20C" w14:textId="77777777" w:rsidR="00324936" w:rsidRPr="00E04B87" w:rsidRDefault="00324936" w:rsidP="00324936">
      <w:pPr>
        <w:ind w:left="4050" w:hanging="4050"/>
        <w:rPr>
          <w:lang w:val="fr-CA"/>
        </w:rPr>
      </w:pPr>
      <w:r w:rsidRPr="00E04B87">
        <w:rPr>
          <w:lang w:val="fr-CA"/>
        </w:rPr>
        <w:t>« </w:t>
      </w:r>
      <w:proofErr w:type="gramStart"/>
      <w:r w:rsidRPr="00E04B87">
        <w:rPr>
          <w:lang w:val="fr-CA"/>
        </w:rPr>
        <w:t>directeur</w:t>
      </w:r>
      <w:proofErr w:type="gramEnd"/>
      <w:r w:rsidRPr="00E04B87">
        <w:rPr>
          <w:lang w:val="fr-CA"/>
        </w:rPr>
        <w:t xml:space="preserve"> général » </w:t>
      </w:r>
      <w:r w:rsidRPr="00E04B87">
        <w:rPr>
          <w:lang w:val="fr-CA"/>
        </w:rPr>
        <w:tab/>
        <w:t>personne, relevant directement du conseil de Première Nation, responsable de diriger l’administration ou la gestion quotidienne de la Première Nation</w:t>
      </w:r>
    </w:p>
    <w:p w14:paraId="78991D74" w14:textId="77777777" w:rsidR="00324936" w:rsidRPr="00E04B87" w:rsidRDefault="00324936" w:rsidP="00324936">
      <w:pPr>
        <w:ind w:left="4050" w:hanging="4050"/>
        <w:rPr>
          <w:lang w:val="fr-CA"/>
        </w:rPr>
      </w:pPr>
      <w:r w:rsidRPr="00E04B87">
        <w:rPr>
          <w:lang w:val="fr-CA"/>
        </w:rPr>
        <w:t>« </w:t>
      </w:r>
      <w:proofErr w:type="gramStart"/>
      <w:r w:rsidRPr="00E04B87">
        <w:rPr>
          <w:lang w:val="fr-CA"/>
        </w:rPr>
        <w:t>dirigeant</w:t>
      </w:r>
      <w:proofErr w:type="gramEnd"/>
      <w:r w:rsidRPr="00E04B87">
        <w:rPr>
          <w:lang w:val="fr-CA"/>
        </w:rPr>
        <w:t xml:space="preserve"> » </w:t>
      </w:r>
      <w:r w:rsidRPr="00E04B87">
        <w:rPr>
          <w:lang w:val="fr-CA"/>
        </w:rPr>
        <w:tab/>
      </w:r>
      <w:bookmarkStart w:id="34" w:name="lt_pId152"/>
      <w:r w:rsidRPr="00E04B87">
        <w:rPr>
          <w:lang w:val="fr-CA"/>
        </w:rPr>
        <w:t>directeur général, directeur des finances, administrateur fiscal et tout autre employé du gouvernement d’une Première Nation désigné par le conseil de Première Nation à titre de dirigeant</w:t>
      </w:r>
      <w:bookmarkEnd w:id="34"/>
    </w:p>
    <w:p w14:paraId="250BD82A" w14:textId="77777777" w:rsidR="00324936" w:rsidRPr="00E04B87" w:rsidRDefault="00324936" w:rsidP="00324936">
      <w:pPr>
        <w:ind w:left="4050" w:hanging="4050"/>
        <w:rPr>
          <w:lang w:val="fr-CA"/>
        </w:rPr>
      </w:pPr>
      <w:r w:rsidRPr="00E04B87">
        <w:rPr>
          <w:lang w:val="fr-CA"/>
        </w:rPr>
        <w:t>« </w:t>
      </w:r>
      <w:proofErr w:type="gramStart"/>
      <w:r w:rsidRPr="00E04B87">
        <w:rPr>
          <w:lang w:val="fr-CA"/>
        </w:rPr>
        <w:t>document</w:t>
      </w:r>
      <w:proofErr w:type="gramEnd"/>
      <w:r w:rsidRPr="00E04B87">
        <w:rPr>
          <w:lang w:val="fr-CA"/>
        </w:rPr>
        <w:t xml:space="preserve"> » </w:t>
      </w:r>
      <w:r w:rsidRPr="00E04B87">
        <w:rPr>
          <w:lang w:val="fr-CA"/>
        </w:rPr>
        <w:tab/>
      </w:r>
      <w:bookmarkStart w:id="35" w:name="lt_pId170"/>
      <w:r w:rsidRPr="00E04B87">
        <w:rPr>
          <w:lang w:val="fr-CA"/>
        </w:rPr>
        <w:t xml:space="preserve">information </w:t>
      </w:r>
      <w:bookmarkEnd w:id="35"/>
      <w:r w:rsidRPr="00E04B87">
        <w:rPr>
          <w:lang w:val="fr-CA"/>
        </w:rPr>
        <w:t>crée, reçue et conservée par le gouvernement d’une Première Nation à des fins de fonctionnement ou pour se conformer à une obligation juridique. Un document peut exister en format électronique ou papier</w:t>
      </w:r>
    </w:p>
    <w:p w14:paraId="527081D2" w14:textId="77777777" w:rsidR="00324936" w:rsidRPr="00E04B87" w:rsidRDefault="00324936" w:rsidP="00324936">
      <w:pPr>
        <w:ind w:left="4050" w:hanging="4050"/>
        <w:rPr>
          <w:lang w:val="fr-CA"/>
        </w:rPr>
      </w:pPr>
      <w:r w:rsidRPr="00E04B87">
        <w:rPr>
          <w:lang w:val="fr-CA"/>
        </w:rPr>
        <w:t>« </w:t>
      </w:r>
      <w:proofErr w:type="gramStart"/>
      <w:r w:rsidRPr="00E04B87">
        <w:rPr>
          <w:lang w:val="fr-CA"/>
        </w:rPr>
        <w:t>dossiers</w:t>
      </w:r>
      <w:proofErr w:type="gramEnd"/>
      <w:r w:rsidRPr="00E04B87">
        <w:rPr>
          <w:lang w:val="fr-CA"/>
        </w:rPr>
        <w:t xml:space="preserve"> de ressources humaines » </w:t>
      </w:r>
      <w:r w:rsidRPr="00E04B87">
        <w:rPr>
          <w:lang w:val="fr-CA"/>
        </w:rPr>
        <w:tab/>
        <w:t>dossiers contenant l’information sur l’emploi, les fonctions, la rémunération, le rendement et les antécédents professionnels d’une personne</w:t>
      </w:r>
    </w:p>
    <w:p w14:paraId="413148D4" w14:textId="77777777" w:rsidR="00324936" w:rsidRPr="00E04B87" w:rsidRDefault="00324936" w:rsidP="00324936">
      <w:pPr>
        <w:ind w:left="4050" w:hanging="4050"/>
        <w:rPr>
          <w:lang w:val="fr-CA"/>
        </w:rPr>
      </w:pPr>
      <w:r w:rsidRPr="00E04B87">
        <w:rPr>
          <w:lang w:val="fr-CA"/>
        </w:rPr>
        <w:t xml:space="preserve"> « </w:t>
      </w:r>
      <w:proofErr w:type="gramStart"/>
      <w:r w:rsidRPr="00E04B87">
        <w:rPr>
          <w:lang w:val="fr-CA"/>
        </w:rPr>
        <w:t>durée</w:t>
      </w:r>
      <w:proofErr w:type="gramEnd"/>
      <w:r w:rsidRPr="00E04B87">
        <w:rPr>
          <w:lang w:val="fr-CA"/>
        </w:rPr>
        <w:t xml:space="preserve"> de vie utile »</w:t>
      </w:r>
      <w:r w:rsidRPr="00E04B87">
        <w:rPr>
          <w:lang w:val="fr-CA"/>
        </w:rPr>
        <w:tab/>
        <w:t xml:space="preserve">estimation de la période durant laquelle le gouvernement d’une Première Nation pourra se servir d’une immobilisation corporelle; la durée de vie d’une immobilisation corporelle peut se prolonger au-delà de sa durée de vie utile, et la durée de vie d’une </w:t>
      </w:r>
      <w:r w:rsidRPr="00E04B87">
        <w:rPr>
          <w:lang w:val="fr-CA"/>
        </w:rPr>
        <w:lastRenderedPageBreak/>
        <w:t>immobilisation corporelle, autre que les terrains, est une durée déterminée (limitée)</w:t>
      </w:r>
    </w:p>
    <w:p w14:paraId="1AC3CA4E" w14:textId="77777777" w:rsidR="00324936" w:rsidRPr="00E04B87" w:rsidRDefault="00324936" w:rsidP="00324936">
      <w:pPr>
        <w:ind w:left="4050" w:hanging="4050"/>
        <w:rPr>
          <w:lang w:val="fr-CA"/>
        </w:rPr>
      </w:pPr>
      <w:r w:rsidRPr="00E04B87">
        <w:rPr>
          <w:lang w:val="fr-CA"/>
        </w:rPr>
        <w:t xml:space="preserve"> « </w:t>
      </w:r>
      <w:proofErr w:type="gramStart"/>
      <w:r w:rsidRPr="00E04B87">
        <w:rPr>
          <w:lang w:val="fr-CA"/>
        </w:rPr>
        <w:t>entité</w:t>
      </w:r>
      <w:proofErr w:type="gramEnd"/>
      <w:r w:rsidRPr="00E04B87">
        <w:rPr>
          <w:lang w:val="fr-CA"/>
        </w:rPr>
        <w:t xml:space="preserve"> » </w:t>
      </w:r>
      <w:r w:rsidRPr="00E04B87">
        <w:rPr>
          <w:lang w:val="fr-CA"/>
        </w:rPr>
        <w:tab/>
      </w:r>
      <w:bookmarkStart w:id="36" w:name="lt_pId107"/>
      <w:r w:rsidRPr="00E04B87">
        <w:rPr>
          <w:lang w:val="fr-CA"/>
        </w:rPr>
        <w:t>société, partenariat, coentreprise ou association ou organisation non incorporée dont les transactions financières sont consolidées dans les états financiers de la Première Nation conformément aux PCGR</w:t>
      </w:r>
      <w:bookmarkEnd w:id="36"/>
    </w:p>
    <w:p w14:paraId="6434CB48" w14:textId="77777777" w:rsidR="00324936" w:rsidRPr="00E04B87" w:rsidRDefault="00324936" w:rsidP="00324936">
      <w:pPr>
        <w:ind w:left="4050" w:hanging="4050"/>
        <w:rPr>
          <w:lang w:val="fr-CA"/>
        </w:rPr>
      </w:pPr>
      <w:r w:rsidRPr="00E04B87">
        <w:rPr>
          <w:lang w:val="fr-CA"/>
        </w:rPr>
        <w:t>« </w:t>
      </w:r>
      <w:proofErr w:type="gramStart"/>
      <w:r w:rsidRPr="00E04B87">
        <w:rPr>
          <w:lang w:val="fr-CA"/>
        </w:rPr>
        <w:t>états</w:t>
      </w:r>
      <w:proofErr w:type="gramEnd"/>
      <w:r w:rsidRPr="00E04B87">
        <w:rPr>
          <w:lang w:val="fr-CA"/>
        </w:rPr>
        <w:t xml:space="preserve"> financiers »</w:t>
      </w:r>
      <w:r w:rsidRPr="00E04B87">
        <w:rPr>
          <w:lang w:val="fr-CA"/>
        </w:rPr>
        <w:tab/>
        <w:t>document officiel détaillant toutes les sommes d’argent et tous les biens de la Première Nation pour une période donnée</w:t>
      </w:r>
    </w:p>
    <w:p w14:paraId="586764CB" w14:textId="77777777" w:rsidR="00324936" w:rsidRPr="00E04B87" w:rsidRDefault="00324936" w:rsidP="00324936">
      <w:pPr>
        <w:ind w:left="4050" w:hanging="4050"/>
        <w:rPr>
          <w:lang w:val="fr-CA"/>
        </w:rPr>
      </w:pPr>
      <w:r w:rsidRPr="00E04B87">
        <w:rPr>
          <w:lang w:val="fr-CA"/>
        </w:rPr>
        <w:t>« </w:t>
      </w:r>
      <w:proofErr w:type="gramStart"/>
      <w:r w:rsidRPr="00E04B87">
        <w:rPr>
          <w:lang w:val="fr-CA"/>
        </w:rPr>
        <w:t>évaluation</w:t>
      </w:r>
      <w:proofErr w:type="gramEnd"/>
      <w:r w:rsidRPr="00E04B87">
        <w:rPr>
          <w:lang w:val="fr-CA"/>
        </w:rPr>
        <w:t xml:space="preserve"> interne » </w:t>
      </w:r>
      <w:r w:rsidRPr="00E04B87">
        <w:rPr>
          <w:lang w:val="fr-CA"/>
        </w:rPr>
        <w:tab/>
        <w:t>examen d’une activité ou d’un processus par un membre du personnel de la Première Nation indépendant (c.-</w:t>
      </w:r>
      <w:proofErr w:type="spellStart"/>
      <w:r w:rsidRPr="00E04B87">
        <w:rPr>
          <w:lang w:val="fr-CA"/>
        </w:rPr>
        <w:t>à</w:t>
      </w:r>
      <w:proofErr w:type="spellEnd"/>
      <w:r w:rsidRPr="00E04B87">
        <w:rPr>
          <w:lang w:val="fr-CA"/>
        </w:rPr>
        <w:t>.-d. une personne ne participant pas à l’activité évaluée et n’en étant pas responsable) afin d’en déterminer l’efficacité</w:t>
      </w:r>
    </w:p>
    <w:p w14:paraId="11929F35" w14:textId="77777777" w:rsidR="00324936" w:rsidRPr="00E04B87" w:rsidRDefault="00324936" w:rsidP="00324936">
      <w:pPr>
        <w:ind w:left="4050" w:hanging="4050"/>
        <w:rPr>
          <w:lang w:val="fr-CA"/>
        </w:rPr>
      </w:pPr>
      <w:r w:rsidRPr="00E04B87">
        <w:rPr>
          <w:lang w:val="fr-CA"/>
        </w:rPr>
        <w:t>« </w:t>
      </w:r>
      <w:proofErr w:type="gramStart"/>
      <w:r w:rsidRPr="00E04B87">
        <w:rPr>
          <w:lang w:val="fr-CA"/>
        </w:rPr>
        <w:t>exercice</w:t>
      </w:r>
      <w:proofErr w:type="gramEnd"/>
      <w:r w:rsidRPr="00E04B87">
        <w:rPr>
          <w:lang w:val="fr-CA"/>
        </w:rPr>
        <w:t> »</w:t>
      </w:r>
      <w:r w:rsidRPr="00E04B87">
        <w:rPr>
          <w:lang w:val="fr-CA"/>
        </w:rPr>
        <w:tab/>
        <w:t>période de douze mois utilisée aux fins fiscales ou comptables</w:t>
      </w:r>
    </w:p>
    <w:p w14:paraId="40F27777" w14:textId="77777777" w:rsidR="00324936" w:rsidRPr="00E04B87" w:rsidRDefault="00324936" w:rsidP="00324936">
      <w:pPr>
        <w:ind w:left="4050" w:hanging="4050"/>
        <w:rPr>
          <w:lang w:val="fr-CA"/>
        </w:rPr>
      </w:pPr>
      <w:r w:rsidRPr="00E04B87">
        <w:rPr>
          <w:lang w:val="fr-CA"/>
        </w:rPr>
        <w:t>« </w:t>
      </w:r>
      <w:proofErr w:type="gramStart"/>
      <w:r w:rsidRPr="00E04B87">
        <w:rPr>
          <w:lang w:val="fr-CA"/>
        </w:rPr>
        <w:t>fournisseur</w:t>
      </w:r>
      <w:proofErr w:type="gramEnd"/>
      <w:r w:rsidRPr="00E04B87">
        <w:rPr>
          <w:lang w:val="fr-CA"/>
        </w:rPr>
        <w:t xml:space="preserve"> unique » </w:t>
      </w:r>
      <w:r w:rsidRPr="00E04B87">
        <w:rPr>
          <w:lang w:val="fr-CA"/>
        </w:rPr>
        <w:tab/>
        <w:t>contrat conclu par le gouvernement d’une Première Nation sans avoir eu recours à un processus concurrentiel pour l’achat de biens ou de services</w:t>
      </w:r>
    </w:p>
    <w:p w14:paraId="30DDE773" w14:textId="77777777" w:rsidR="00324936" w:rsidRPr="00E04B87" w:rsidRDefault="00324936" w:rsidP="00324936">
      <w:pPr>
        <w:ind w:left="4050" w:hanging="4050"/>
        <w:rPr>
          <w:lang w:val="fr-CA"/>
        </w:rPr>
      </w:pPr>
      <w:r w:rsidRPr="00E04B87">
        <w:rPr>
          <w:lang w:val="fr-CA"/>
        </w:rPr>
        <w:t>« </w:t>
      </w:r>
      <w:proofErr w:type="gramStart"/>
      <w:r w:rsidRPr="00E04B87">
        <w:rPr>
          <w:lang w:val="fr-CA"/>
        </w:rPr>
        <w:t>frais</w:t>
      </w:r>
      <w:proofErr w:type="gramEnd"/>
      <w:r w:rsidRPr="00E04B87">
        <w:rPr>
          <w:lang w:val="fr-CA"/>
        </w:rPr>
        <w:t> »</w:t>
      </w:r>
      <w:r w:rsidRPr="00E04B87">
        <w:rPr>
          <w:lang w:val="fr-CA"/>
        </w:rPr>
        <w:tab/>
        <w:t xml:space="preserve">sommes d’argent dépensées pour le transport, l’hébergement, les repas, l’accueil et les frais accessoires qui sont remboursables </w:t>
      </w:r>
    </w:p>
    <w:p w14:paraId="4C04EABD" w14:textId="77777777" w:rsidR="00324936" w:rsidRPr="00E04B87" w:rsidRDefault="00324936" w:rsidP="00324936">
      <w:pPr>
        <w:ind w:left="4050" w:hanging="4050"/>
        <w:rPr>
          <w:lang w:val="fr-CA"/>
        </w:rPr>
      </w:pPr>
      <w:r w:rsidRPr="00E04B87">
        <w:rPr>
          <w:lang w:val="fr-CA"/>
        </w:rPr>
        <w:t>« </w:t>
      </w:r>
      <w:proofErr w:type="gramStart"/>
      <w:r w:rsidRPr="00E04B87">
        <w:rPr>
          <w:lang w:val="fr-CA"/>
        </w:rPr>
        <w:t>fraude</w:t>
      </w:r>
      <w:proofErr w:type="gramEnd"/>
      <w:r w:rsidRPr="00E04B87">
        <w:rPr>
          <w:lang w:val="fr-CA"/>
        </w:rPr>
        <w:t> »</w:t>
      </w:r>
      <w:r w:rsidRPr="00E04B87">
        <w:rPr>
          <w:lang w:val="fr-CA"/>
        </w:rPr>
        <w:tab/>
        <w:t>acte fautif ou criminel impliquant le mensonge ou la non</w:t>
      </w:r>
      <w:r w:rsidRPr="00E04B87">
        <w:rPr>
          <w:lang w:val="fr-CA"/>
        </w:rPr>
        <w:noBreakHyphen/>
        <w:t>communication d’information, habituellement dans le but d’obtenir un gain personnel ou financier</w:t>
      </w:r>
    </w:p>
    <w:p w14:paraId="73AE24D5" w14:textId="77777777" w:rsidR="00324936" w:rsidRPr="00E04B87" w:rsidRDefault="00324936" w:rsidP="00324936">
      <w:pPr>
        <w:ind w:left="4050" w:hanging="4050"/>
        <w:rPr>
          <w:lang w:val="fr-CA"/>
        </w:rPr>
      </w:pPr>
      <w:r w:rsidRPr="00E04B87">
        <w:rPr>
          <w:lang w:val="fr-CA"/>
        </w:rPr>
        <w:t>« </w:t>
      </w:r>
      <w:proofErr w:type="gramStart"/>
      <w:r w:rsidRPr="00E04B87">
        <w:rPr>
          <w:lang w:val="fr-CA"/>
        </w:rPr>
        <w:t>garantie</w:t>
      </w:r>
      <w:proofErr w:type="gramEnd"/>
      <w:r w:rsidRPr="00E04B87">
        <w:rPr>
          <w:lang w:val="fr-CA"/>
        </w:rPr>
        <w:t xml:space="preserve"> d’emprunt »</w:t>
      </w:r>
      <w:r w:rsidRPr="00E04B87">
        <w:rPr>
          <w:lang w:val="fr-CA"/>
        </w:rPr>
        <w:tab/>
        <w:t>engagement de payer la totalité ou une partie du capital ou des intérêts d’une dette en cas de défaut de l’emprunteur</w:t>
      </w:r>
    </w:p>
    <w:p w14:paraId="7AC7E6DA" w14:textId="77777777" w:rsidR="00324936" w:rsidRPr="00E04B87" w:rsidRDefault="00324936" w:rsidP="00324936">
      <w:pPr>
        <w:ind w:left="4050" w:hanging="4050"/>
        <w:rPr>
          <w:lang w:val="fr-CA"/>
        </w:rPr>
      </w:pPr>
      <w:r w:rsidRPr="00E04B87">
        <w:rPr>
          <w:lang w:val="fr-CA"/>
        </w:rPr>
        <w:t>« </w:t>
      </w:r>
      <w:proofErr w:type="gramStart"/>
      <w:r w:rsidRPr="00E04B87">
        <w:rPr>
          <w:lang w:val="fr-CA"/>
        </w:rPr>
        <w:t>immobilisations</w:t>
      </w:r>
      <w:proofErr w:type="gramEnd"/>
      <w:r w:rsidRPr="00E04B87">
        <w:rPr>
          <w:lang w:val="fr-CA"/>
        </w:rPr>
        <w:t xml:space="preserve"> corporelles »</w:t>
      </w:r>
      <w:r w:rsidRPr="00E04B87">
        <w:rPr>
          <w:lang w:val="fr-CA"/>
        </w:rPr>
        <w:tab/>
        <w:t>immobilisations corporelles (actifs physiques) telles que des immeubles, des terrains et l’outillage important</w:t>
      </w:r>
    </w:p>
    <w:p w14:paraId="61F0338D" w14:textId="77777777" w:rsidR="00324936" w:rsidRPr="00E04B87" w:rsidRDefault="00324936" w:rsidP="00324936">
      <w:pPr>
        <w:ind w:left="4050" w:hanging="4050"/>
        <w:rPr>
          <w:lang w:val="fr-CA"/>
        </w:rPr>
      </w:pPr>
      <w:r w:rsidRPr="00E04B87">
        <w:rPr>
          <w:lang w:val="fr-CA"/>
        </w:rPr>
        <w:t>« </w:t>
      </w:r>
      <w:proofErr w:type="gramStart"/>
      <w:r w:rsidRPr="00E04B87">
        <w:rPr>
          <w:lang w:val="fr-CA"/>
        </w:rPr>
        <w:t>inconduite</w:t>
      </w:r>
      <w:proofErr w:type="gramEnd"/>
      <w:r w:rsidRPr="00E04B87">
        <w:rPr>
          <w:lang w:val="fr-CA"/>
        </w:rPr>
        <w:t xml:space="preserve"> ou acte fautif » </w:t>
      </w:r>
      <w:r w:rsidRPr="00E04B87">
        <w:rPr>
          <w:lang w:val="fr-CA"/>
        </w:rPr>
        <w:tab/>
        <w:t>infraction à la Loi sur l’administration financière d’une Première Nation, y compris aux dispositions à l’égard des conflits d’intérêts, au code de conduite et aux politiques et procédures administratives approuvées par le conseil de Première Nation</w:t>
      </w:r>
    </w:p>
    <w:p w14:paraId="56F699E3" w14:textId="77777777" w:rsidR="00324936" w:rsidRPr="00E04B87" w:rsidRDefault="00324936" w:rsidP="00324936">
      <w:pPr>
        <w:ind w:left="4050" w:hanging="4050"/>
        <w:rPr>
          <w:lang w:val="fr-CA"/>
        </w:rPr>
      </w:pPr>
      <w:r w:rsidRPr="00E04B87">
        <w:rPr>
          <w:lang w:val="fr-CA"/>
        </w:rPr>
        <w:t>« </w:t>
      </w:r>
      <w:proofErr w:type="gramStart"/>
      <w:r w:rsidRPr="00E04B87">
        <w:rPr>
          <w:lang w:val="fr-CA"/>
        </w:rPr>
        <w:t>indemnité</w:t>
      </w:r>
      <w:proofErr w:type="gramEnd"/>
      <w:r w:rsidRPr="00E04B87">
        <w:rPr>
          <w:lang w:val="fr-CA"/>
        </w:rPr>
        <w:t xml:space="preserve"> » </w:t>
      </w:r>
      <w:r w:rsidRPr="00E04B87">
        <w:rPr>
          <w:lang w:val="fr-CA"/>
        </w:rPr>
        <w:tab/>
        <w:t>sûreté ou protection contre la perte ou une autre obligation financière</w:t>
      </w:r>
    </w:p>
    <w:p w14:paraId="4D7A885C" w14:textId="77777777" w:rsidR="00324936" w:rsidRPr="00E04B87" w:rsidRDefault="00324936" w:rsidP="00324936">
      <w:pPr>
        <w:ind w:left="4050" w:hanging="4050"/>
        <w:rPr>
          <w:lang w:val="fr-CA"/>
        </w:rPr>
      </w:pPr>
      <w:r w:rsidRPr="00E04B87">
        <w:rPr>
          <w:lang w:val="fr-CA"/>
        </w:rPr>
        <w:lastRenderedPageBreak/>
        <w:t>« </w:t>
      </w:r>
      <w:proofErr w:type="gramStart"/>
      <w:r w:rsidRPr="00E04B87">
        <w:rPr>
          <w:lang w:val="fr-CA"/>
        </w:rPr>
        <w:t>indépendance</w:t>
      </w:r>
      <w:proofErr w:type="gramEnd"/>
      <w:r w:rsidRPr="00E04B87">
        <w:rPr>
          <w:lang w:val="fr-CA"/>
        </w:rPr>
        <w:t xml:space="preserve"> » </w:t>
      </w:r>
      <w:r w:rsidRPr="00E04B87">
        <w:rPr>
          <w:lang w:val="fr-CA"/>
        </w:rPr>
        <w:tab/>
      </w:r>
      <w:bookmarkStart w:id="37" w:name="lt_pId129"/>
      <w:r w:rsidRPr="00E04B87">
        <w:rPr>
          <w:lang w:val="fr-CA"/>
        </w:rPr>
        <w:t>critère d’admissibilité comme membre du Comité des finances et d’audit voulant qu’une personne n’entretienne pas une relation financière directe ou indirecte avec le gouvernement d’une Première Nation dont le conseil de Première Nation pourrait raisonnablement s’attendre à ce qu’elle nuise à l’indépendance de son jugement à titre de membre du Comité des finances et d’audit</w:t>
      </w:r>
      <w:bookmarkEnd w:id="37"/>
    </w:p>
    <w:p w14:paraId="70CE04AA" w14:textId="77777777" w:rsidR="00324936" w:rsidRPr="00E04B87" w:rsidRDefault="00324936" w:rsidP="00324936">
      <w:pPr>
        <w:ind w:left="4050" w:hanging="4050"/>
        <w:rPr>
          <w:lang w:val="fr-CA"/>
        </w:rPr>
      </w:pPr>
      <w:r w:rsidRPr="00E04B87">
        <w:rPr>
          <w:lang w:val="fr-CA"/>
        </w:rPr>
        <w:tab/>
      </w:r>
      <w:bookmarkStart w:id="38" w:name="lt_pId130"/>
      <w:proofErr w:type="gramStart"/>
      <w:r w:rsidRPr="00E04B87">
        <w:rPr>
          <w:lang w:val="fr-CA"/>
        </w:rPr>
        <w:t>une</w:t>
      </w:r>
      <w:proofErr w:type="gramEnd"/>
      <w:r w:rsidRPr="00E04B87">
        <w:rPr>
          <w:lang w:val="fr-CA"/>
        </w:rPr>
        <w:t xml:space="preserve"> personne jouant un rôle dans la gestion financière de la Première Nation impliquant la planification, l’organisation, la direction ou le contrôle des activités financières – y compris l’établissement des budgets, la comptabilité financière, la communication de l’information financière, l’approvisionnement et l’utilisation des fonds – ne respecte pas le critère d’indépendance minimal pour faire partie du Comité des finances et d’audit.</w:t>
      </w:r>
      <w:bookmarkEnd w:id="38"/>
    </w:p>
    <w:p w14:paraId="2A95E665" w14:textId="77777777" w:rsidR="00324936" w:rsidRPr="00E04B87" w:rsidRDefault="00324936" w:rsidP="00324936">
      <w:pPr>
        <w:ind w:left="4050" w:hanging="4050"/>
        <w:rPr>
          <w:lang w:val="fr-CA"/>
        </w:rPr>
      </w:pPr>
      <w:r w:rsidRPr="00E04B87">
        <w:rPr>
          <w:lang w:val="fr-CA"/>
        </w:rPr>
        <w:t>« </w:t>
      </w:r>
      <w:proofErr w:type="gramStart"/>
      <w:r w:rsidRPr="00E04B87">
        <w:rPr>
          <w:lang w:val="fr-CA"/>
        </w:rPr>
        <w:t>information</w:t>
      </w:r>
      <w:proofErr w:type="gramEnd"/>
      <w:r w:rsidRPr="00E04B87">
        <w:rPr>
          <w:lang w:val="fr-CA"/>
        </w:rPr>
        <w:t xml:space="preserve"> » </w:t>
      </w:r>
      <w:r w:rsidRPr="00E04B87">
        <w:rPr>
          <w:lang w:val="fr-CA"/>
        </w:rPr>
        <w:tab/>
        <w:t>renseignements reçus et matériel documenté, peu en importe la source ou le format</w:t>
      </w:r>
    </w:p>
    <w:p w14:paraId="53B47540" w14:textId="77777777" w:rsidR="00324936" w:rsidRPr="00E04B87" w:rsidRDefault="00324936" w:rsidP="00324936">
      <w:pPr>
        <w:ind w:left="4050" w:hanging="4050"/>
        <w:rPr>
          <w:lang w:val="fr-CA"/>
        </w:rPr>
      </w:pPr>
      <w:r w:rsidRPr="00E04B87">
        <w:rPr>
          <w:lang w:val="fr-CA"/>
        </w:rPr>
        <w:t>« </w:t>
      </w:r>
      <w:proofErr w:type="gramStart"/>
      <w:r w:rsidRPr="00E04B87">
        <w:rPr>
          <w:lang w:val="fr-CA"/>
        </w:rPr>
        <w:t>lettre</w:t>
      </w:r>
      <w:proofErr w:type="gramEnd"/>
      <w:r w:rsidRPr="00E04B87">
        <w:rPr>
          <w:lang w:val="fr-CA"/>
        </w:rPr>
        <w:t xml:space="preserve"> de mission »</w:t>
      </w:r>
      <w:r w:rsidRPr="00E04B87">
        <w:rPr>
          <w:lang w:val="fr-CA"/>
        </w:rPr>
        <w:tab/>
        <w:t>document écrit préparé par l’auditeur servant de contrat et confirmant les modalités d’audit convenues entre l’auditeur et le gouvernement de la Première Nation; cette lettre est une exigence des normes d’audit généralement reconnues du Canada</w:t>
      </w:r>
    </w:p>
    <w:p w14:paraId="4DCB8B5E" w14:textId="77777777" w:rsidR="00C90689" w:rsidRDefault="00C90689" w:rsidP="00C90689">
      <w:pPr>
        <w:ind w:left="4050" w:hanging="4050"/>
        <w:rPr>
          <w:lang w:val="fr-CA"/>
        </w:rPr>
      </w:pPr>
      <w:r>
        <w:rPr>
          <w:lang w:val="fr-CA"/>
        </w:rPr>
        <w:t>« </w:t>
      </w:r>
      <w:proofErr w:type="gramStart"/>
      <w:r>
        <w:rPr>
          <w:lang w:val="fr-CA"/>
        </w:rPr>
        <w:t>mesures</w:t>
      </w:r>
      <w:proofErr w:type="gramEnd"/>
      <w:r>
        <w:rPr>
          <w:lang w:val="fr-CA"/>
        </w:rPr>
        <w:t xml:space="preserve"> correctives »</w:t>
      </w:r>
      <w:r>
        <w:rPr>
          <w:lang w:val="fr-CA"/>
        </w:rPr>
        <w:tab/>
        <w:t>mesures prises relativement à un comportement au travail qui ne respecte pas les attentes de rendement communiquées et acceptées</w:t>
      </w:r>
    </w:p>
    <w:p w14:paraId="063640B6" w14:textId="347EBBED" w:rsidR="00324936" w:rsidRPr="00E04B87" w:rsidRDefault="00324936" w:rsidP="00C90689">
      <w:pPr>
        <w:ind w:left="4050" w:hanging="4050"/>
        <w:rPr>
          <w:lang w:val="fr-CA"/>
        </w:rPr>
      </w:pPr>
      <w:r w:rsidRPr="00E04B87">
        <w:rPr>
          <w:lang w:val="fr-CA"/>
        </w:rPr>
        <w:t>« </w:t>
      </w:r>
      <w:proofErr w:type="gramStart"/>
      <w:r w:rsidRPr="00E04B87">
        <w:rPr>
          <w:lang w:val="fr-CA"/>
        </w:rPr>
        <w:t>optimisation</w:t>
      </w:r>
      <w:proofErr w:type="gramEnd"/>
      <w:r w:rsidRPr="00E04B87">
        <w:rPr>
          <w:lang w:val="fr-CA"/>
        </w:rPr>
        <w:t xml:space="preserve"> des ressources » </w:t>
      </w:r>
      <w:r w:rsidRPr="00E04B87">
        <w:rPr>
          <w:lang w:val="fr-CA"/>
        </w:rPr>
        <w:tab/>
        <w:t>combinaison optimale de prix, de qualité et d’avantages pour un produit ou un service</w:t>
      </w:r>
    </w:p>
    <w:p w14:paraId="6A5D36AB" w14:textId="77777777" w:rsidR="00324936" w:rsidRPr="00E04B87" w:rsidRDefault="00324936" w:rsidP="00324936">
      <w:pPr>
        <w:ind w:left="4050" w:hanging="4050"/>
        <w:rPr>
          <w:lang w:val="fr-CA"/>
        </w:rPr>
      </w:pPr>
      <w:bookmarkStart w:id="39" w:name="lt_pId153"/>
      <w:r w:rsidRPr="00E04B87">
        <w:rPr>
          <w:lang w:val="fr-CA"/>
        </w:rPr>
        <w:t>« </w:t>
      </w:r>
      <w:proofErr w:type="gramStart"/>
      <w:r w:rsidRPr="00E04B87">
        <w:rPr>
          <w:lang w:val="fr-CA"/>
        </w:rPr>
        <w:t>organigramme</w:t>
      </w:r>
      <w:bookmarkEnd w:id="39"/>
      <w:proofErr w:type="gramEnd"/>
      <w:r w:rsidRPr="00E04B87">
        <w:rPr>
          <w:lang w:val="fr-CA"/>
        </w:rPr>
        <w:t> »</w:t>
      </w:r>
      <w:r w:rsidRPr="00E04B87">
        <w:rPr>
          <w:lang w:val="fr-CA"/>
        </w:rPr>
        <w:tab/>
        <w:t>représentation visuelle des différents postes au sein du gouvernement d’une Première Nation montrant clairement les relations hiérarchiques (c.</w:t>
      </w:r>
      <w:r w:rsidRPr="00E04B87">
        <w:rPr>
          <w:lang w:val="fr-CA"/>
        </w:rPr>
        <w:noBreakHyphen/>
        <w:t>à</w:t>
      </w:r>
      <w:r w:rsidRPr="00E04B87">
        <w:rPr>
          <w:lang w:val="fr-CA"/>
        </w:rPr>
        <w:noBreakHyphen/>
        <w:t>d. qui relève de qui)</w:t>
      </w:r>
    </w:p>
    <w:p w14:paraId="150732F0" w14:textId="77777777" w:rsidR="00324936" w:rsidRPr="00E04B87" w:rsidRDefault="00324936" w:rsidP="00324936">
      <w:pPr>
        <w:ind w:left="4050" w:hanging="4050"/>
        <w:rPr>
          <w:lang w:val="fr-CA"/>
        </w:rPr>
      </w:pPr>
      <w:bookmarkStart w:id="40" w:name="lt_pId122"/>
      <w:r w:rsidRPr="00E04B87">
        <w:rPr>
          <w:lang w:val="fr-CA"/>
        </w:rPr>
        <w:t>« PCGR</w:t>
      </w:r>
      <w:bookmarkEnd w:id="40"/>
      <w:r w:rsidRPr="00E04B87">
        <w:rPr>
          <w:lang w:val="fr-CA"/>
        </w:rPr>
        <w:t> »</w:t>
      </w:r>
      <w:r w:rsidRPr="00E04B87">
        <w:rPr>
          <w:lang w:val="fr-CA"/>
        </w:rPr>
        <w:tab/>
        <w:t>principes comptables généralement reconnus du Canada, soit le cadre de procédures, de règles et de directives comptables</w:t>
      </w:r>
    </w:p>
    <w:p w14:paraId="5039DB7B" w14:textId="77777777" w:rsidR="00324936" w:rsidRPr="00E04B87" w:rsidRDefault="00324936" w:rsidP="00324936">
      <w:pPr>
        <w:ind w:left="4050" w:hanging="4050"/>
        <w:rPr>
          <w:lang w:val="fr-CA"/>
        </w:rPr>
      </w:pPr>
      <w:r w:rsidRPr="00E04B87">
        <w:rPr>
          <w:lang w:val="fr-CA"/>
        </w:rPr>
        <w:t>« </w:t>
      </w:r>
      <w:proofErr w:type="gramStart"/>
      <w:r w:rsidRPr="00E04B87">
        <w:rPr>
          <w:lang w:val="fr-CA"/>
        </w:rPr>
        <w:t>placement</w:t>
      </w:r>
      <w:proofErr w:type="gramEnd"/>
      <w:r w:rsidRPr="00E04B87">
        <w:rPr>
          <w:lang w:val="fr-CA"/>
        </w:rPr>
        <w:t> »</w:t>
      </w:r>
      <w:r w:rsidRPr="00E04B87">
        <w:rPr>
          <w:lang w:val="fr-CA"/>
        </w:rPr>
        <w:tab/>
        <w:t>achat d’un actif ou d’un élément dans le but d’en faire fructifier la valeur ou d’en retirer un revenu dans l’avenir</w:t>
      </w:r>
    </w:p>
    <w:p w14:paraId="56A5E3A9" w14:textId="77777777" w:rsidR="00324936" w:rsidRPr="00E04B87" w:rsidRDefault="00324936" w:rsidP="00324936">
      <w:pPr>
        <w:ind w:left="4050" w:hanging="4050"/>
        <w:rPr>
          <w:lang w:val="fr-CA"/>
        </w:rPr>
      </w:pPr>
      <w:r w:rsidRPr="00E04B87">
        <w:rPr>
          <w:lang w:val="fr-CA"/>
        </w:rPr>
        <w:lastRenderedPageBreak/>
        <w:t>« </w:t>
      </w:r>
      <w:proofErr w:type="gramStart"/>
      <w:r w:rsidRPr="00E04B87">
        <w:rPr>
          <w:lang w:val="fr-CA"/>
        </w:rPr>
        <w:t>plan</w:t>
      </w:r>
      <w:proofErr w:type="gramEnd"/>
      <w:r w:rsidRPr="00E04B87">
        <w:rPr>
          <w:lang w:val="fr-CA"/>
        </w:rPr>
        <w:t xml:space="preserve"> de dépenses en immobilisations »</w:t>
      </w:r>
      <w:r w:rsidRPr="00E04B87">
        <w:rPr>
          <w:lang w:val="fr-CA"/>
        </w:rPr>
        <w:tab/>
        <w:t>plan ou aperçu consolidé des rentrées et sorties de fonds relatives à tous les projets d’immobilisations prévus au cours d’un exercice donné</w:t>
      </w:r>
    </w:p>
    <w:p w14:paraId="7611CC34" w14:textId="77777777" w:rsidR="00204E9A" w:rsidRDefault="00324936" w:rsidP="00204E9A">
      <w:pPr>
        <w:spacing w:after="0"/>
        <w:ind w:left="4048" w:hanging="4048"/>
        <w:rPr>
          <w:lang w:val="fr-CA"/>
        </w:rPr>
      </w:pPr>
      <w:bookmarkStart w:id="41" w:name="lt_pId141"/>
      <w:r w:rsidRPr="00E04B87">
        <w:rPr>
          <w:lang w:val="fr-CA"/>
        </w:rPr>
        <w:t>« </w:t>
      </w:r>
      <w:proofErr w:type="gramStart"/>
      <w:r w:rsidR="00204E9A">
        <w:rPr>
          <w:lang w:val="fr-CA"/>
        </w:rPr>
        <w:t>programme</w:t>
      </w:r>
      <w:proofErr w:type="gramEnd"/>
      <w:r w:rsidRPr="00E04B87">
        <w:rPr>
          <w:lang w:val="fr-CA"/>
        </w:rPr>
        <w:t xml:space="preserve"> de gestion </w:t>
      </w:r>
    </w:p>
    <w:p w14:paraId="351BAC67" w14:textId="0F4F7395" w:rsidR="00324936" w:rsidRPr="00E04B87" w:rsidRDefault="00324936" w:rsidP="00204E9A">
      <w:pPr>
        <w:spacing w:before="0"/>
        <w:ind w:left="4048" w:hanging="4048"/>
        <w:rPr>
          <w:lang w:val="fr-CA"/>
        </w:rPr>
      </w:pPr>
      <w:proofErr w:type="gramStart"/>
      <w:r w:rsidRPr="00E04B87">
        <w:rPr>
          <w:lang w:val="fr-CA"/>
        </w:rPr>
        <w:t>du</w:t>
      </w:r>
      <w:proofErr w:type="gramEnd"/>
      <w:r w:rsidRPr="00E04B87">
        <w:rPr>
          <w:lang w:val="fr-CA"/>
        </w:rPr>
        <w:t xml:space="preserve"> cycle de vie</w:t>
      </w:r>
      <w:bookmarkEnd w:id="41"/>
      <w:r w:rsidRPr="00E04B87">
        <w:rPr>
          <w:lang w:val="fr-CA"/>
        </w:rPr>
        <w:t> »</w:t>
      </w:r>
      <w:r w:rsidRPr="00E04B87">
        <w:rPr>
          <w:lang w:val="fr-CA"/>
        </w:rPr>
        <w:tab/>
        <w:t xml:space="preserve">plan des coûts liés à l’achat, à l’utilisation, à l’entretien et à la cession d’immobilisations corporelles pour une période donnée </w:t>
      </w:r>
    </w:p>
    <w:p w14:paraId="01B1B560" w14:textId="77777777" w:rsidR="00324936" w:rsidRPr="00E04B87" w:rsidRDefault="00324936" w:rsidP="00324936">
      <w:pPr>
        <w:ind w:left="4050" w:hanging="4050"/>
        <w:rPr>
          <w:lang w:val="fr-CA"/>
        </w:rPr>
      </w:pPr>
      <w:r w:rsidRPr="00E04B87">
        <w:rPr>
          <w:lang w:val="fr-CA"/>
        </w:rPr>
        <w:t xml:space="preserve"> « </w:t>
      </w:r>
      <w:proofErr w:type="gramStart"/>
      <w:r w:rsidRPr="00E04B87">
        <w:rPr>
          <w:lang w:val="fr-CA"/>
        </w:rPr>
        <w:t>plan</w:t>
      </w:r>
      <w:proofErr w:type="gramEnd"/>
      <w:r w:rsidRPr="00E04B87">
        <w:rPr>
          <w:lang w:val="fr-CA"/>
        </w:rPr>
        <w:t xml:space="preserve"> de projet d’immobilisations »</w:t>
      </w:r>
      <w:r w:rsidRPr="00E04B87">
        <w:rPr>
          <w:lang w:val="fr-CA"/>
        </w:rPr>
        <w:tab/>
        <w:t>plan de gestion visant la mise en œuvre d’un projet d’immobilisations, y compris le budget</w:t>
      </w:r>
    </w:p>
    <w:p w14:paraId="1987E211" w14:textId="77777777" w:rsidR="00324936" w:rsidRPr="00E04B87" w:rsidRDefault="00324936" w:rsidP="00324936">
      <w:pPr>
        <w:ind w:left="4050" w:hanging="4050"/>
        <w:rPr>
          <w:lang w:val="fr-CA"/>
        </w:rPr>
      </w:pPr>
      <w:r w:rsidRPr="00E04B87">
        <w:rPr>
          <w:lang w:val="fr-CA"/>
        </w:rPr>
        <w:t>« </w:t>
      </w:r>
      <w:proofErr w:type="gramStart"/>
      <w:r w:rsidRPr="00E04B87">
        <w:rPr>
          <w:lang w:val="fr-CA"/>
        </w:rPr>
        <w:t>président</w:t>
      </w:r>
      <w:proofErr w:type="gramEnd"/>
      <w:r w:rsidRPr="00E04B87">
        <w:rPr>
          <w:lang w:val="fr-CA"/>
        </w:rPr>
        <w:t> »</w:t>
      </w:r>
      <w:r w:rsidRPr="00E04B87">
        <w:rPr>
          <w:lang w:val="fr-CA"/>
        </w:rPr>
        <w:tab/>
        <w:t>chef d’une réunion, d’un secteur d’activité, d’un comité ou d’un conseil d’administration; le vice-président assume le rôle de chef si le président est absent</w:t>
      </w:r>
    </w:p>
    <w:p w14:paraId="0CF876E1" w14:textId="77777777" w:rsidR="00324936" w:rsidRPr="00E04B87" w:rsidRDefault="00324936" w:rsidP="00324936">
      <w:pPr>
        <w:spacing w:after="0"/>
        <w:ind w:left="4048" w:hanging="4048"/>
        <w:rPr>
          <w:lang w:val="fr-CA"/>
        </w:rPr>
      </w:pPr>
      <w:bookmarkStart w:id="42" w:name="lt_pId135"/>
      <w:bookmarkStart w:id="43" w:name="lt_pId155"/>
      <w:r w:rsidRPr="00E04B87">
        <w:rPr>
          <w:lang w:val="fr-CA"/>
        </w:rPr>
        <w:t>« </w:t>
      </w:r>
      <w:proofErr w:type="gramStart"/>
      <w:r w:rsidRPr="00E04B87">
        <w:rPr>
          <w:lang w:val="fr-CA"/>
        </w:rPr>
        <w:t>processus</w:t>
      </w:r>
      <w:proofErr w:type="gramEnd"/>
      <w:r w:rsidRPr="00E04B87">
        <w:rPr>
          <w:lang w:val="fr-CA"/>
        </w:rPr>
        <w:t xml:space="preserve"> intégré de planification et </w:t>
      </w:r>
    </w:p>
    <w:p w14:paraId="32F551E8" w14:textId="77777777" w:rsidR="00324936" w:rsidRPr="00E04B87" w:rsidRDefault="00324936" w:rsidP="00324936">
      <w:pPr>
        <w:spacing w:before="0" w:after="0"/>
        <w:ind w:left="4048" w:hanging="4048"/>
        <w:rPr>
          <w:lang w:val="fr-CA"/>
        </w:rPr>
      </w:pPr>
      <w:proofErr w:type="gramStart"/>
      <w:r w:rsidRPr="00E04B87">
        <w:rPr>
          <w:lang w:val="fr-CA"/>
        </w:rPr>
        <w:t>d’établissement</w:t>
      </w:r>
      <w:proofErr w:type="gramEnd"/>
      <w:r w:rsidRPr="00E04B87">
        <w:rPr>
          <w:lang w:val="fr-CA"/>
        </w:rPr>
        <w:t xml:space="preserve"> des budgets »</w:t>
      </w:r>
      <w:r w:rsidRPr="00E04B87">
        <w:rPr>
          <w:lang w:val="fr-CA"/>
        </w:rPr>
        <w:tab/>
      </w:r>
      <w:bookmarkEnd w:id="42"/>
      <w:r w:rsidRPr="00E04B87">
        <w:rPr>
          <w:lang w:val="fr-CA"/>
        </w:rPr>
        <w:t xml:space="preserve">processus annuel d’activités de planification et d’établissement des budgets à tous les échelons du gouvernement de la Première Nation qui sont interreliées et coordonnées entre elles et qui sont fondées sur la vision et les objectifs stratégiques de la Première Nation </w:t>
      </w:r>
    </w:p>
    <w:p w14:paraId="085405A7" w14:textId="77777777" w:rsidR="00324936" w:rsidRPr="00E04B87" w:rsidRDefault="00324936" w:rsidP="00324936">
      <w:pPr>
        <w:spacing w:after="0"/>
        <w:ind w:left="4048" w:hanging="4048"/>
        <w:rPr>
          <w:lang w:val="fr-CA"/>
        </w:rPr>
      </w:pPr>
      <w:r w:rsidRPr="00E04B87">
        <w:rPr>
          <w:lang w:val="fr-CA"/>
        </w:rPr>
        <w:t xml:space="preserve"> « </w:t>
      </w:r>
      <w:proofErr w:type="gramStart"/>
      <w:r w:rsidRPr="00E04B87">
        <w:rPr>
          <w:lang w:val="fr-CA"/>
        </w:rPr>
        <w:t>programme</w:t>
      </w:r>
      <w:proofErr w:type="gramEnd"/>
      <w:r w:rsidRPr="00E04B87">
        <w:rPr>
          <w:lang w:val="fr-CA"/>
        </w:rPr>
        <w:t xml:space="preserve"> d’amélioration </w:t>
      </w:r>
    </w:p>
    <w:p w14:paraId="1A699F61" w14:textId="77777777" w:rsidR="00324936" w:rsidRPr="00E04B87" w:rsidRDefault="00324936" w:rsidP="00324936">
      <w:pPr>
        <w:spacing w:before="0" w:after="0"/>
        <w:ind w:left="4048" w:hanging="4048"/>
        <w:rPr>
          <w:lang w:val="fr-CA"/>
        </w:rPr>
      </w:pPr>
      <w:proofErr w:type="gramStart"/>
      <w:r w:rsidRPr="00E04B87">
        <w:rPr>
          <w:lang w:val="fr-CA"/>
        </w:rPr>
        <w:t>du</w:t>
      </w:r>
      <w:proofErr w:type="gramEnd"/>
      <w:r w:rsidRPr="00E04B87">
        <w:rPr>
          <w:lang w:val="fr-CA"/>
        </w:rPr>
        <w:t xml:space="preserve"> rendement</w:t>
      </w:r>
      <w:bookmarkEnd w:id="43"/>
      <w:r w:rsidRPr="00E04B87">
        <w:rPr>
          <w:lang w:val="fr-CA"/>
        </w:rPr>
        <w:t> »</w:t>
      </w:r>
      <w:r w:rsidRPr="00E04B87">
        <w:rPr>
          <w:lang w:val="fr-CA"/>
        </w:rPr>
        <w:tab/>
        <w:t xml:space="preserve">programme mis au point par le superviseur immédiat d’un employé, de concert avec l’employé, pour remédier aux éléments nécessitant d’être améliorés ou perfectionnés relevés lors du processus d’évaluation de rendement </w:t>
      </w:r>
    </w:p>
    <w:p w14:paraId="6113F932" w14:textId="77777777" w:rsidR="00324936" w:rsidRPr="00E04B87" w:rsidRDefault="00324936" w:rsidP="00324936">
      <w:pPr>
        <w:ind w:left="4050" w:hanging="4050"/>
        <w:rPr>
          <w:lang w:val="fr-CA"/>
        </w:rPr>
      </w:pPr>
      <w:r w:rsidRPr="00E04B87">
        <w:rPr>
          <w:lang w:val="fr-CA"/>
        </w:rPr>
        <w:t>« </w:t>
      </w:r>
      <w:proofErr w:type="gramStart"/>
      <w:r w:rsidRPr="00E04B87">
        <w:rPr>
          <w:lang w:val="fr-CA"/>
        </w:rPr>
        <w:t>projection</w:t>
      </w:r>
      <w:proofErr w:type="gramEnd"/>
      <w:r w:rsidRPr="00E04B87">
        <w:rPr>
          <w:lang w:val="fr-CA"/>
        </w:rPr>
        <w:t> »</w:t>
      </w:r>
      <w:r w:rsidRPr="00E04B87">
        <w:rPr>
          <w:lang w:val="fr-CA"/>
        </w:rPr>
        <w:tab/>
        <w:t>estimation relative à une situation future fondée sur toute l’information disponible au moment où elle est formulée</w:t>
      </w:r>
    </w:p>
    <w:p w14:paraId="564BCC67" w14:textId="77777777" w:rsidR="00324936" w:rsidRPr="00E04B87" w:rsidRDefault="00324936" w:rsidP="00324936">
      <w:pPr>
        <w:ind w:left="4050" w:hanging="4050"/>
        <w:rPr>
          <w:lang w:val="fr-CA"/>
        </w:rPr>
      </w:pPr>
      <w:bookmarkStart w:id="44" w:name="lt_pId059"/>
      <w:r w:rsidRPr="00E04B87">
        <w:rPr>
          <w:lang w:val="fr-CA"/>
        </w:rPr>
        <w:t>« </w:t>
      </w:r>
      <w:proofErr w:type="gramStart"/>
      <w:r w:rsidRPr="00E04B87">
        <w:rPr>
          <w:lang w:val="fr-CA"/>
        </w:rPr>
        <w:t>projet</w:t>
      </w:r>
      <w:proofErr w:type="gramEnd"/>
      <w:r w:rsidRPr="00E04B87">
        <w:rPr>
          <w:lang w:val="fr-CA"/>
        </w:rPr>
        <w:t xml:space="preserve"> d’immobilisations</w:t>
      </w:r>
      <w:bookmarkEnd w:id="44"/>
      <w:r w:rsidRPr="00E04B87">
        <w:rPr>
          <w:lang w:val="fr-CA"/>
        </w:rPr>
        <w:t> »</w:t>
      </w:r>
      <w:r w:rsidRPr="00E04B87">
        <w:rPr>
          <w:lang w:val="fr-CA"/>
        </w:rPr>
        <w:tab/>
        <w:t>construction, remise en état ou remplacement des immobilisations corporelles de la Première Nation ainsi que tout autre projet d’immobilisations d’importance dans lequel la Première Nation ou une entité liée à la Première Nation détient une participation</w:t>
      </w:r>
    </w:p>
    <w:p w14:paraId="34ED7212" w14:textId="77777777" w:rsidR="00324936" w:rsidRPr="00E04B87" w:rsidRDefault="00324936" w:rsidP="00324936">
      <w:pPr>
        <w:spacing w:after="0"/>
        <w:ind w:left="4048" w:hanging="4048"/>
        <w:rPr>
          <w:lang w:val="fr-CA"/>
        </w:rPr>
      </w:pPr>
      <w:r w:rsidRPr="00E04B87">
        <w:rPr>
          <w:lang w:val="fr-CA"/>
        </w:rPr>
        <w:t>« </w:t>
      </w:r>
      <w:proofErr w:type="gramStart"/>
      <w:r w:rsidRPr="00E04B87">
        <w:rPr>
          <w:lang w:val="fr-CA"/>
        </w:rPr>
        <w:t>protection</w:t>
      </w:r>
      <w:proofErr w:type="gramEnd"/>
      <w:r w:rsidRPr="00E04B87">
        <w:rPr>
          <w:lang w:val="fr-CA"/>
        </w:rPr>
        <w:t xml:space="preserve"> des renseignements </w:t>
      </w:r>
    </w:p>
    <w:p w14:paraId="143DF089" w14:textId="77777777" w:rsidR="00324936" w:rsidRPr="00E04B87" w:rsidRDefault="00324936" w:rsidP="00324936">
      <w:pPr>
        <w:spacing w:before="0" w:after="0"/>
        <w:ind w:left="4048" w:hanging="4048"/>
        <w:rPr>
          <w:lang w:val="fr-CA"/>
        </w:rPr>
      </w:pPr>
      <w:proofErr w:type="gramStart"/>
      <w:r w:rsidRPr="00E04B87">
        <w:rPr>
          <w:lang w:val="fr-CA"/>
        </w:rPr>
        <w:t>personnels</w:t>
      </w:r>
      <w:proofErr w:type="gramEnd"/>
      <w:r w:rsidRPr="00E04B87">
        <w:rPr>
          <w:lang w:val="fr-CA"/>
        </w:rPr>
        <w:t xml:space="preserve"> » </w:t>
      </w:r>
      <w:r w:rsidRPr="00E04B87">
        <w:rPr>
          <w:lang w:val="fr-CA"/>
        </w:rPr>
        <w:tab/>
        <w:t>règles mises en place par le gouvernement d’une Première Nation pour recueillir, créer, utiliser, partager ou divulguer, conserver, protéger et supprimer les renseignements personnels nécessaires dans l’administration de la Première Nation</w:t>
      </w:r>
    </w:p>
    <w:p w14:paraId="27418300" w14:textId="77777777" w:rsidR="00324936" w:rsidRPr="00E04B87" w:rsidRDefault="00324936" w:rsidP="00324936">
      <w:pPr>
        <w:ind w:left="4050" w:hanging="4050"/>
        <w:rPr>
          <w:lang w:val="fr-CA"/>
        </w:rPr>
      </w:pPr>
      <w:r w:rsidRPr="00E04B87">
        <w:rPr>
          <w:lang w:val="fr-CA"/>
        </w:rPr>
        <w:t>« </w:t>
      </w:r>
      <w:proofErr w:type="gramStart"/>
      <w:r w:rsidRPr="00E04B87">
        <w:rPr>
          <w:lang w:val="fr-CA"/>
        </w:rPr>
        <w:t>rapport</w:t>
      </w:r>
      <w:proofErr w:type="gramEnd"/>
      <w:r w:rsidRPr="00E04B87">
        <w:rPr>
          <w:lang w:val="fr-CA"/>
        </w:rPr>
        <w:t xml:space="preserve"> spécial »</w:t>
      </w:r>
      <w:r w:rsidRPr="00E04B87">
        <w:rPr>
          <w:lang w:val="fr-CA"/>
        </w:rPr>
        <w:tab/>
        <w:t>rapport financier portant sur une activité en particulier</w:t>
      </w:r>
    </w:p>
    <w:p w14:paraId="174B5891" w14:textId="77777777" w:rsidR="00324936" w:rsidRPr="00E04B87" w:rsidRDefault="00324936" w:rsidP="00324936">
      <w:pPr>
        <w:ind w:left="4050" w:hanging="4050"/>
        <w:rPr>
          <w:lang w:val="fr-CA"/>
        </w:rPr>
      </w:pPr>
      <w:r w:rsidRPr="00E04B87">
        <w:rPr>
          <w:lang w:val="fr-CA"/>
        </w:rPr>
        <w:t>« </w:t>
      </w:r>
      <w:proofErr w:type="gramStart"/>
      <w:r w:rsidRPr="00E04B87">
        <w:rPr>
          <w:lang w:val="fr-CA"/>
        </w:rPr>
        <w:t>recettes</w:t>
      </w:r>
      <w:proofErr w:type="gramEnd"/>
      <w:r w:rsidRPr="00E04B87">
        <w:rPr>
          <w:lang w:val="fr-CA"/>
        </w:rPr>
        <w:t xml:space="preserve"> locales »</w:t>
      </w:r>
      <w:r w:rsidRPr="00E04B87">
        <w:rPr>
          <w:lang w:val="fr-CA"/>
        </w:rPr>
        <w:tab/>
        <w:t xml:space="preserve">terme utilisé pour désigner les impôts fonciers dans la </w:t>
      </w:r>
      <w:r w:rsidRPr="00E04B87">
        <w:rPr>
          <w:i/>
          <w:iCs/>
          <w:lang w:val="fr-CA"/>
        </w:rPr>
        <w:t>Loi sur la gestion financière des premières nations</w:t>
      </w:r>
    </w:p>
    <w:p w14:paraId="409163AE" w14:textId="77777777" w:rsidR="00324936" w:rsidRPr="00E04B87" w:rsidRDefault="00324936" w:rsidP="00324936">
      <w:pPr>
        <w:ind w:left="4050" w:hanging="4050"/>
        <w:rPr>
          <w:lang w:val="fr-CA"/>
        </w:rPr>
      </w:pPr>
      <w:r w:rsidRPr="00E04B87">
        <w:rPr>
          <w:lang w:val="fr-CA"/>
        </w:rPr>
        <w:t>« </w:t>
      </w:r>
      <w:proofErr w:type="gramStart"/>
      <w:r w:rsidRPr="00E04B87">
        <w:rPr>
          <w:lang w:val="fr-CA"/>
        </w:rPr>
        <w:t>remise</w:t>
      </w:r>
      <w:proofErr w:type="gramEnd"/>
      <w:r w:rsidRPr="00E04B87">
        <w:rPr>
          <w:lang w:val="fr-CA"/>
        </w:rPr>
        <w:t xml:space="preserve"> en état » </w:t>
      </w:r>
      <w:r w:rsidRPr="00E04B87">
        <w:rPr>
          <w:lang w:val="fr-CA"/>
        </w:rPr>
        <w:tab/>
      </w:r>
      <w:r w:rsidRPr="00E04B87">
        <w:rPr>
          <w:color w:val="000000"/>
          <w:lang w:val="fr-CA"/>
        </w:rPr>
        <w:t>modification, agrandissement ou rénovation d’une immobilisation corporelle, à l’exclusion de l’entretien de routine</w:t>
      </w:r>
    </w:p>
    <w:p w14:paraId="24A9DC1C" w14:textId="77777777" w:rsidR="00324936" w:rsidRPr="00E04B87" w:rsidRDefault="00324936" w:rsidP="00324936">
      <w:pPr>
        <w:ind w:left="4050" w:hanging="4050"/>
        <w:rPr>
          <w:lang w:val="fr-CA"/>
        </w:rPr>
      </w:pPr>
      <w:r w:rsidRPr="00E04B87">
        <w:rPr>
          <w:lang w:val="fr-CA"/>
        </w:rPr>
        <w:t>« </w:t>
      </w:r>
      <w:proofErr w:type="gramStart"/>
      <w:r w:rsidRPr="00E04B87">
        <w:rPr>
          <w:lang w:val="fr-CA"/>
        </w:rPr>
        <w:t>remplacement</w:t>
      </w:r>
      <w:proofErr w:type="gramEnd"/>
      <w:r w:rsidRPr="00E04B87">
        <w:rPr>
          <w:lang w:val="fr-CA"/>
        </w:rPr>
        <w:t> »</w:t>
      </w:r>
      <w:r w:rsidRPr="00E04B87">
        <w:rPr>
          <w:lang w:val="fr-CA"/>
        </w:rPr>
        <w:tab/>
      </w:r>
      <w:bookmarkStart w:id="45" w:name="lt_pId179"/>
      <w:r w:rsidRPr="00E04B87">
        <w:rPr>
          <w:lang w:val="fr-CA"/>
        </w:rPr>
        <w:t>substitution, en tout ou en partie, par une autre immobilisation corporelle de la Première Nation</w:t>
      </w:r>
      <w:bookmarkEnd w:id="45"/>
    </w:p>
    <w:p w14:paraId="236DE61B" w14:textId="77777777" w:rsidR="00324936" w:rsidRPr="00E04B87" w:rsidRDefault="00324936" w:rsidP="00324936">
      <w:pPr>
        <w:ind w:left="4050" w:hanging="4050"/>
        <w:rPr>
          <w:lang w:val="fr-CA"/>
        </w:rPr>
      </w:pPr>
      <w:bookmarkStart w:id="46" w:name="lt_pId178"/>
      <w:r w:rsidRPr="00E04B87">
        <w:rPr>
          <w:lang w:val="fr-CA"/>
        </w:rPr>
        <w:t>« </w:t>
      </w:r>
      <w:proofErr w:type="gramStart"/>
      <w:r w:rsidRPr="00E04B87">
        <w:rPr>
          <w:lang w:val="fr-CA"/>
        </w:rPr>
        <w:t>rémunération</w:t>
      </w:r>
      <w:proofErr w:type="gramEnd"/>
      <w:r w:rsidRPr="00E04B87">
        <w:rPr>
          <w:lang w:val="fr-CA"/>
        </w:rPr>
        <w:t xml:space="preserve"> » </w:t>
      </w:r>
      <w:r w:rsidRPr="00E04B87">
        <w:rPr>
          <w:lang w:val="fr-CA"/>
        </w:rPr>
        <w:tab/>
      </w:r>
      <w:r w:rsidRPr="00E04B87">
        <w:rPr>
          <w:color w:val="000000"/>
          <w:lang w:val="fr-CA"/>
        </w:rPr>
        <w:t>salaires, traitements, commissions, primes, frais, honoraires et dividendes ainsi que tout autre avantage pécuniaire et non pécuniaire</w:t>
      </w:r>
    </w:p>
    <w:bookmarkEnd w:id="46"/>
    <w:p w14:paraId="4A215BAC" w14:textId="77777777" w:rsidR="00324936" w:rsidRPr="00E04B87" w:rsidRDefault="00324936" w:rsidP="00324936">
      <w:pPr>
        <w:ind w:left="4050" w:hanging="4050"/>
        <w:rPr>
          <w:lang w:val="fr-CA"/>
        </w:rPr>
      </w:pPr>
      <w:r w:rsidRPr="00E04B87">
        <w:rPr>
          <w:lang w:val="fr-CA"/>
        </w:rPr>
        <w:t>« </w:t>
      </w:r>
      <w:proofErr w:type="gramStart"/>
      <w:r w:rsidRPr="00E04B87">
        <w:rPr>
          <w:lang w:val="fr-CA"/>
        </w:rPr>
        <w:t>renseignements</w:t>
      </w:r>
      <w:proofErr w:type="gramEnd"/>
      <w:r w:rsidRPr="00E04B87">
        <w:rPr>
          <w:lang w:val="fr-CA"/>
        </w:rPr>
        <w:t xml:space="preserve"> personnels » </w:t>
      </w:r>
      <w:r w:rsidRPr="00E04B87">
        <w:rPr>
          <w:lang w:val="fr-CA"/>
        </w:rPr>
        <w:tab/>
        <w:t>renseignements sur une personne en particulier; outre les éléments habituels tels que le nom, le sexe, les caractéristiques physiques, l’adresse, les coordonnées et les numéros d’identification et de dossier de la personne, ces renseignements comprennent également les antécédents criminels, médicaux, financiers, familiaux et scolaires ainsi que l’information évaluative et autres détails de la vie privée de cette personne</w:t>
      </w:r>
    </w:p>
    <w:p w14:paraId="7CC6A25B" w14:textId="77777777" w:rsidR="00324936" w:rsidRPr="00E04B87" w:rsidRDefault="00324936" w:rsidP="00324936">
      <w:pPr>
        <w:ind w:left="4050" w:hanging="4050"/>
        <w:rPr>
          <w:lang w:val="fr-CA"/>
        </w:rPr>
      </w:pPr>
      <w:r w:rsidRPr="00E04B87">
        <w:rPr>
          <w:lang w:val="fr-CA"/>
        </w:rPr>
        <w:t>« </w:t>
      </w:r>
      <w:proofErr w:type="gramStart"/>
      <w:r w:rsidRPr="00E04B87">
        <w:rPr>
          <w:lang w:val="fr-CA"/>
        </w:rPr>
        <w:t>réseau</w:t>
      </w:r>
      <w:proofErr w:type="gramEnd"/>
      <w:r w:rsidRPr="00E04B87">
        <w:rPr>
          <w:lang w:val="fr-CA"/>
        </w:rPr>
        <w:t xml:space="preserve"> privé virtuel » </w:t>
      </w:r>
      <w:r w:rsidRPr="00E04B87">
        <w:rPr>
          <w:lang w:val="fr-CA"/>
        </w:rPr>
        <w:tab/>
        <w:t xml:space="preserve">un réseau privé virtuel, ou VPN, est une façon d’utiliser des infrastructures publiques de télécommunication, comme l’Internet, pour fournir un accès à distance sécuritaire au réseau virtuel de la Première Nation </w:t>
      </w:r>
    </w:p>
    <w:p w14:paraId="6B4F8B32" w14:textId="77777777" w:rsidR="00324936" w:rsidRPr="00E04B87" w:rsidRDefault="00324936" w:rsidP="00324936">
      <w:pPr>
        <w:ind w:left="4050" w:hanging="4050"/>
        <w:rPr>
          <w:lang w:val="fr-CA"/>
        </w:rPr>
      </w:pPr>
      <w:r w:rsidRPr="00E04B87">
        <w:rPr>
          <w:lang w:val="fr-CA"/>
        </w:rPr>
        <w:t>« </w:t>
      </w:r>
      <w:proofErr w:type="gramStart"/>
      <w:r w:rsidRPr="00E04B87">
        <w:rPr>
          <w:lang w:val="fr-CA"/>
        </w:rPr>
        <w:t>réserves</w:t>
      </w:r>
      <w:proofErr w:type="gramEnd"/>
      <w:r w:rsidRPr="00E04B87">
        <w:rPr>
          <w:lang w:val="fr-CA"/>
        </w:rPr>
        <w:t xml:space="preserve"> de trésorerie »</w:t>
      </w:r>
      <w:r w:rsidRPr="00E04B87">
        <w:rPr>
          <w:lang w:val="fr-CA"/>
        </w:rPr>
        <w:tab/>
        <w:t>sommes d’argent facilement accessibles pour répondre aux besoins financiers à court terme et aux urgences</w:t>
      </w:r>
    </w:p>
    <w:p w14:paraId="659BED08" w14:textId="77777777" w:rsidR="00324936" w:rsidRPr="00E04B87" w:rsidRDefault="00324936" w:rsidP="00324936">
      <w:pPr>
        <w:spacing w:after="0"/>
        <w:ind w:left="4048" w:hanging="4048"/>
        <w:rPr>
          <w:lang w:val="fr-CA"/>
        </w:rPr>
      </w:pPr>
      <w:r w:rsidRPr="00E04B87">
        <w:rPr>
          <w:lang w:val="fr-CA"/>
        </w:rPr>
        <w:t>« </w:t>
      </w:r>
      <w:proofErr w:type="gramStart"/>
      <w:r w:rsidRPr="00E04B87">
        <w:rPr>
          <w:lang w:val="fr-CA"/>
        </w:rPr>
        <w:t>risque</w:t>
      </w:r>
      <w:proofErr w:type="gramEnd"/>
      <w:r w:rsidRPr="00E04B87">
        <w:rPr>
          <w:lang w:val="fr-CA"/>
        </w:rPr>
        <w:t xml:space="preserve"> lié à l’information financière » </w:t>
      </w:r>
      <w:r w:rsidRPr="00E04B87">
        <w:rPr>
          <w:lang w:val="fr-CA"/>
        </w:rPr>
        <w:tab/>
        <w:t>possibilité d’erreur importante dans l’information financière généralement attribuable à des contrôles internes inadéquats ou à la fraude</w:t>
      </w:r>
    </w:p>
    <w:p w14:paraId="29E12D17" w14:textId="77777777" w:rsidR="00324936" w:rsidRPr="00E04B87" w:rsidRDefault="00324936" w:rsidP="00324936">
      <w:pPr>
        <w:ind w:left="4050" w:hanging="4050"/>
        <w:rPr>
          <w:lang w:val="fr-CA"/>
        </w:rPr>
      </w:pPr>
      <w:r w:rsidRPr="00E04B87">
        <w:rPr>
          <w:lang w:val="fr-CA"/>
        </w:rPr>
        <w:t>« </w:t>
      </w:r>
      <w:proofErr w:type="gramStart"/>
      <w:r w:rsidRPr="00E04B87">
        <w:rPr>
          <w:lang w:val="fr-CA"/>
        </w:rPr>
        <w:t>risque</w:t>
      </w:r>
      <w:proofErr w:type="gramEnd"/>
      <w:r w:rsidRPr="00E04B87">
        <w:rPr>
          <w:lang w:val="fr-CA"/>
        </w:rPr>
        <w:t xml:space="preserve"> » </w:t>
      </w:r>
      <w:r w:rsidRPr="00E04B87">
        <w:rPr>
          <w:lang w:val="fr-CA"/>
        </w:rPr>
        <w:tab/>
        <w:t>possibilité de perte ou d’autre événement négatif pouvant menacer l’atteinte des objectifs du gouvernement d’une Première Nation</w:t>
      </w:r>
    </w:p>
    <w:p w14:paraId="3E8B9563" w14:textId="0EA0D01B" w:rsidR="00324936" w:rsidRPr="00E04B87" w:rsidRDefault="00324936" w:rsidP="00324936">
      <w:pPr>
        <w:ind w:left="4050" w:hanging="4050"/>
        <w:rPr>
          <w:lang w:val="fr-CA"/>
        </w:rPr>
      </w:pPr>
      <w:bookmarkStart w:id="47" w:name="lt_pId133"/>
      <w:r w:rsidRPr="00E04B87">
        <w:rPr>
          <w:lang w:val="fr-CA"/>
        </w:rPr>
        <w:t>« </w:t>
      </w:r>
      <w:proofErr w:type="gramStart"/>
      <w:r w:rsidRPr="00E04B87">
        <w:rPr>
          <w:lang w:val="fr-CA"/>
        </w:rPr>
        <w:t>sécurité</w:t>
      </w:r>
      <w:proofErr w:type="gramEnd"/>
      <w:r w:rsidRPr="00E04B87">
        <w:rPr>
          <w:lang w:val="fr-CA"/>
        </w:rPr>
        <w:t xml:space="preserve"> </w:t>
      </w:r>
      <w:bookmarkEnd w:id="47"/>
      <w:r w:rsidR="00CD7C86">
        <w:rPr>
          <w:lang w:val="fr-CA"/>
        </w:rPr>
        <w:t>informatique</w:t>
      </w:r>
      <w:r w:rsidRPr="00E04B87">
        <w:rPr>
          <w:lang w:val="fr-CA"/>
        </w:rPr>
        <w:t xml:space="preserve"> » </w:t>
      </w:r>
      <w:r w:rsidRPr="00E04B87">
        <w:rPr>
          <w:lang w:val="fr-CA"/>
        </w:rPr>
        <w:tab/>
        <w:t>façon dont le gouvernement d’une Première Nation protège l’information contre les accès, l’utilisation, la modification ou la suppression non autorisés</w:t>
      </w:r>
    </w:p>
    <w:p w14:paraId="0BEEBC21" w14:textId="77777777" w:rsidR="00324936" w:rsidRPr="00E04B87" w:rsidRDefault="00324936" w:rsidP="00324936">
      <w:pPr>
        <w:ind w:left="4050" w:hanging="4050"/>
        <w:rPr>
          <w:lang w:val="fr-CA"/>
        </w:rPr>
      </w:pPr>
      <w:r w:rsidRPr="00E04B87">
        <w:rPr>
          <w:lang w:val="fr-CA"/>
        </w:rPr>
        <w:t>« </w:t>
      </w:r>
      <w:proofErr w:type="gramStart"/>
      <w:r w:rsidRPr="00E04B87">
        <w:rPr>
          <w:lang w:val="fr-CA"/>
        </w:rPr>
        <w:t>signification</w:t>
      </w:r>
      <w:proofErr w:type="gramEnd"/>
      <w:r w:rsidRPr="00E04B87">
        <w:rPr>
          <w:lang w:val="fr-CA"/>
        </w:rPr>
        <w:t> »</w:t>
      </w:r>
      <w:r w:rsidRPr="00E04B87">
        <w:rPr>
          <w:lang w:val="fr-CA"/>
        </w:rPr>
        <w:tab/>
        <w:t>montant financier, habituellement élevé, que le gouvernement d’une Première Nation considère comme important; le seuil de signification est le montant minimal que la Première Nation considère comme important</w:t>
      </w:r>
    </w:p>
    <w:p w14:paraId="60B3E433" w14:textId="77777777" w:rsidR="00324936" w:rsidRPr="00E04B87" w:rsidRDefault="00324936" w:rsidP="00324936">
      <w:pPr>
        <w:ind w:left="4050" w:hanging="4050"/>
        <w:rPr>
          <w:lang w:val="fr-CA"/>
        </w:rPr>
      </w:pPr>
      <w:r w:rsidRPr="00E04B87">
        <w:rPr>
          <w:lang w:val="fr-CA"/>
        </w:rPr>
        <w:t>« </w:t>
      </w:r>
      <w:proofErr w:type="gramStart"/>
      <w:r w:rsidRPr="00E04B87">
        <w:rPr>
          <w:lang w:val="fr-CA"/>
        </w:rPr>
        <w:t>superviseur</w:t>
      </w:r>
      <w:proofErr w:type="gramEnd"/>
      <w:r w:rsidRPr="00E04B87">
        <w:rPr>
          <w:lang w:val="fr-CA"/>
        </w:rPr>
        <w:t xml:space="preserve"> immédiat » </w:t>
      </w:r>
      <w:r w:rsidRPr="00E04B87">
        <w:rPr>
          <w:lang w:val="fr-CA"/>
        </w:rPr>
        <w:tab/>
        <w:t>employé responsable de la gestion et de la supervision du travail et du perfectionnement d’autres employés</w:t>
      </w:r>
    </w:p>
    <w:p w14:paraId="70466ACA" w14:textId="77777777" w:rsidR="00324936" w:rsidRPr="00E04B87" w:rsidRDefault="00324936" w:rsidP="00324936">
      <w:pPr>
        <w:ind w:left="4050" w:hanging="4050"/>
        <w:rPr>
          <w:lang w:val="fr-CA"/>
        </w:rPr>
      </w:pPr>
      <w:r w:rsidRPr="00E04B87">
        <w:rPr>
          <w:lang w:val="fr-CA"/>
        </w:rPr>
        <w:t>« Tableau de délégation des pouvoirs »</w:t>
      </w:r>
      <w:r w:rsidRPr="00E04B87">
        <w:rPr>
          <w:lang w:val="fr-CA"/>
        </w:rPr>
        <w:tab/>
        <w:t>tableau approuvé par le conseil de Première Nation indiquant les délégations de pouvoirs relatives à certaines décisions ou à certaines activités de l’administration financière de la Première Nation</w:t>
      </w:r>
    </w:p>
    <w:p w14:paraId="587BC7A9" w14:textId="77777777" w:rsidR="00324936" w:rsidRPr="00E04B87" w:rsidRDefault="00324936" w:rsidP="00324936">
      <w:pPr>
        <w:ind w:left="4050" w:hanging="4050"/>
        <w:rPr>
          <w:lang w:val="fr-CA"/>
        </w:rPr>
      </w:pPr>
      <w:r w:rsidRPr="00E04B87">
        <w:rPr>
          <w:lang w:val="fr-CA"/>
        </w:rPr>
        <w:t>« </w:t>
      </w:r>
      <w:proofErr w:type="gramStart"/>
      <w:r w:rsidRPr="00E04B87">
        <w:rPr>
          <w:lang w:val="fr-CA"/>
        </w:rPr>
        <w:t>tenue</w:t>
      </w:r>
      <w:proofErr w:type="gramEnd"/>
      <w:r w:rsidRPr="00E04B87">
        <w:rPr>
          <w:lang w:val="fr-CA"/>
        </w:rPr>
        <w:t xml:space="preserve"> de dossiers » </w:t>
      </w:r>
      <w:r w:rsidRPr="00E04B87">
        <w:rPr>
          <w:lang w:val="fr-CA"/>
        </w:rPr>
        <w:tab/>
        <w:t>façon dont une organisation crée, obtient et gère ses documents</w:t>
      </w:r>
    </w:p>
    <w:p w14:paraId="1FA77709" w14:textId="77777777" w:rsidR="00324936" w:rsidRPr="00E04B87" w:rsidRDefault="00324936" w:rsidP="00324936">
      <w:pPr>
        <w:ind w:left="4050" w:hanging="4050"/>
        <w:rPr>
          <w:lang w:val="fr-CA"/>
        </w:rPr>
      </w:pPr>
      <w:r w:rsidRPr="00E04B87">
        <w:rPr>
          <w:lang w:val="fr-CA"/>
        </w:rPr>
        <w:t xml:space="preserve"> « </w:t>
      </w:r>
      <w:proofErr w:type="gramStart"/>
      <w:r w:rsidRPr="00E04B87">
        <w:rPr>
          <w:lang w:val="fr-CA"/>
        </w:rPr>
        <w:t>trésorerie</w:t>
      </w:r>
      <w:proofErr w:type="gramEnd"/>
      <w:r w:rsidRPr="00E04B87">
        <w:rPr>
          <w:lang w:val="fr-CA"/>
        </w:rPr>
        <w:t xml:space="preserve"> » </w:t>
      </w:r>
      <w:r w:rsidRPr="00E04B87">
        <w:rPr>
          <w:lang w:val="fr-CA"/>
        </w:rPr>
        <w:tab/>
        <w:t>argent comptant, chèques, mandats et devises équivalentes</w:t>
      </w:r>
    </w:p>
    <w:p w14:paraId="768E6989" w14:textId="77777777" w:rsidR="001606F9" w:rsidRPr="00E04B87" w:rsidRDefault="001606F9" w:rsidP="001606F9">
      <w:pPr>
        <w:ind w:left="4050" w:hanging="4050"/>
        <w:rPr>
          <w:lang w:val="fr-CA"/>
        </w:rPr>
      </w:pPr>
    </w:p>
    <w:p w14:paraId="5073A1BB" w14:textId="77777777" w:rsidR="001A0819" w:rsidRPr="00E04B87" w:rsidRDefault="001A0819" w:rsidP="001A0819">
      <w:pPr>
        <w:rPr>
          <w:lang w:val="fr-CA"/>
        </w:rPr>
      </w:pPr>
      <w:r w:rsidRPr="00E04B87">
        <w:rPr>
          <w:lang w:val="fr-CA"/>
        </w:rPr>
        <w:t xml:space="preserve"> </w:t>
      </w:r>
    </w:p>
    <w:p w14:paraId="7F107199" w14:textId="77777777" w:rsidR="001A0819" w:rsidRPr="00E04B87" w:rsidRDefault="001A0819" w:rsidP="001A0819">
      <w:pPr>
        <w:rPr>
          <w:lang w:val="fr-CA"/>
        </w:rPr>
      </w:pPr>
    </w:p>
    <w:p w14:paraId="34E305A6" w14:textId="36A08234" w:rsidR="001A0819" w:rsidRPr="00E04B87" w:rsidRDefault="005E3712" w:rsidP="009B3DB1">
      <w:pPr>
        <w:pStyle w:val="Heading1"/>
        <w:rPr>
          <w:lang w:val="fr-CA"/>
        </w:rPr>
      </w:pPr>
      <w:r w:rsidRPr="00E04B87">
        <w:rPr>
          <w:lang w:val="fr-CA"/>
        </w:rPr>
        <w:br w:type="page"/>
      </w:r>
      <w:bookmarkStart w:id="48" w:name="_Toc17376436"/>
      <w:r w:rsidR="006521DD" w:rsidRPr="00E04B87">
        <w:rPr>
          <w:lang w:val="fr-CA"/>
        </w:rPr>
        <w:t>technologies de l’information</w:t>
      </w:r>
      <w:bookmarkEnd w:id="48"/>
      <w:r w:rsidR="009B3DB1" w:rsidRPr="00E04B87">
        <w:rPr>
          <w:lang w:val="fr-CA"/>
        </w:rPr>
        <w:t xml:space="preserve"> </w:t>
      </w:r>
    </w:p>
    <w:p w14:paraId="045C8FF1" w14:textId="60CD3712" w:rsidR="001A0819" w:rsidRPr="00E04B87" w:rsidRDefault="006521DD" w:rsidP="00E574CF">
      <w:pPr>
        <w:pStyle w:val="14ptCAPS"/>
        <w:rPr>
          <w:lang w:val="fr-CA"/>
        </w:rPr>
      </w:pPr>
      <w:r w:rsidRPr="00E04B87">
        <w:rPr>
          <w:lang w:val="fr-CA"/>
        </w:rPr>
        <w:t>POLITIQUE</w:t>
      </w:r>
      <w:r w:rsidR="001A0819" w:rsidRPr="00E04B87">
        <w:rPr>
          <w:lang w:val="fr-CA"/>
        </w:rPr>
        <w:t xml:space="preserve"> </w:t>
      </w:r>
    </w:p>
    <w:p w14:paraId="6E0AD3D5" w14:textId="4AF69DE4" w:rsidR="001A0819" w:rsidRPr="00E04B87" w:rsidRDefault="006521DD" w:rsidP="0081061E">
      <w:pPr>
        <w:pStyle w:val="14ptheading"/>
        <w:rPr>
          <w:lang w:val="fr-CA"/>
        </w:rPr>
      </w:pPr>
      <w:r w:rsidRPr="00E04B87">
        <w:rPr>
          <w:lang w:val="fr-CA"/>
        </w:rPr>
        <w:t>Énoncé de politique</w:t>
      </w:r>
    </w:p>
    <w:p w14:paraId="306D96EE" w14:textId="25F62B4E" w:rsidR="001A0819" w:rsidRPr="00E04B87" w:rsidRDefault="006521DD" w:rsidP="001A0819">
      <w:pPr>
        <w:rPr>
          <w:lang w:val="fr-CA"/>
        </w:rPr>
      </w:pPr>
      <w:r w:rsidRPr="00E04B87">
        <w:rPr>
          <w:lang w:val="fr-CA"/>
        </w:rPr>
        <w:t xml:space="preserve">Le conseil de Première Nation a pour politique d’établir un processus concernant </w:t>
      </w:r>
      <w:r w:rsidR="00376634" w:rsidRPr="00E04B87">
        <w:rPr>
          <w:lang w:val="fr-CA"/>
        </w:rPr>
        <w:t xml:space="preserve">les systèmes informatiques de la Première Nation </w:t>
      </w:r>
      <w:r w:rsidR="007B22DA" w:rsidRPr="00E04B87">
        <w:rPr>
          <w:lang w:val="fr-CA"/>
        </w:rPr>
        <w:t xml:space="preserve">afin de répondre à ses </w:t>
      </w:r>
      <w:r w:rsidR="00376634" w:rsidRPr="00E04B87">
        <w:rPr>
          <w:lang w:val="fr-CA"/>
        </w:rPr>
        <w:t>exigences de fonctionnement et de mettre en place les processus de protection et de surveillance appropriés</w:t>
      </w:r>
      <w:r w:rsidR="009B3DB1" w:rsidRPr="00E04B87">
        <w:rPr>
          <w:lang w:val="fr-CA"/>
        </w:rPr>
        <w:t>.</w:t>
      </w:r>
    </w:p>
    <w:p w14:paraId="7743E85F" w14:textId="40437CEE" w:rsidR="001A0819" w:rsidRPr="00E04B87" w:rsidRDefault="006521DD" w:rsidP="00E574CF">
      <w:pPr>
        <w:pStyle w:val="14ptheading"/>
        <w:rPr>
          <w:lang w:val="fr-CA"/>
        </w:rPr>
      </w:pPr>
      <w:r w:rsidRPr="00E04B87">
        <w:rPr>
          <w:lang w:val="fr-CA"/>
        </w:rPr>
        <w:t>Objectif</w:t>
      </w:r>
    </w:p>
    <w:p w14:paraId="03368265" w14:textId="13F75EBB" w:rsidR="001A0819" w:rsidRPr="00E04B87" w:rsidRDefault="006521DD" w:rsidP="005E3712">
      <w:pPr>
        <w:rPr>
          <w:lang w:val="fr-CA"/>
        </w:rPr>
      </w:pPr>
      <w:r w:rsidRPr="00E04B87">
        <w:rPr>
          <w:lang w:val="fr-CA"/>
        </w:rPr>
        <w:t xml:space="preserve">L’objectif de la présente politique est de </w:t>
      </w:r>
      <w:r w:rsidR="007B22DA" w:rsidRPr="00E04B87">
        <w:rPr>
          <w:lang w:val="fr-CA"/>
        </w:rPr>
        <w:t xml:space="preserve">s’assurer que l’information de la Première Nation est protégée adéquatement et </w:t>
      </w:r>
      <w:r w:rsidR="00705A18" w:rsidRPr="00E04B87">
        <w:rPr>
          <w:lang w:val="fr-CA"/>
        </w:rPr>
        <w:t xml:space="preserve">de faire en sorte </w:t>
      </w:r>
      <w:r w:rsidR="007B22DA" w:rsidRPr="00E04B87">
        <w:rPr>
          <w:lang w:val="fr-CA"/>
        </w:rPr>
        <w:t xml:space="preserve">que les systèmes informatiques </w:t>
      </w:r>
      <w:r w:rsidR="00705A18" w:rsidRPr="00E04B87">
        <w:rPr>
          <w:lang w:val="fr-CA"/>
        </w:rPr>
        <w:t>aient un niveau d’intégrité suffisant</w:t>
      </w:r>
      <w:r w:rsidR="007B22DA" w:rsidRPr="00E04B87">
        <w:rPr>
          <w:lang w:val="fr-CA"/>
        </w:rPr>
        <w:t xml:space="preserve"> pour maintenir et soutenir les exigences stratégiques et de fonctionnement de la Première Nation</w:t>
      </w:r>
      <w:r w:rsidR="001C00A3" w:rsidRPr="00E04B87">
        <w:rPr>
          <w:lang w:val="fr-CA"/>
        </w:rPr>
        <w:t xml:space="preserve">. </w:t>
      </w:r>
      <w:r w:rsidR="00DC4F23" w:rsidRPr="00E04B87">
        <w:rPr>
          <w:lang w:val="fr-CA"/>
        </w:rPr>
        <w:t xml:space="preserve"> </w:t>
      </w:r>
    </w:p>
    <w:p w14:paraId="5D351629" w14:textId="2D4A79BF" w:rsidR="001A0819" w:rsidRPr="00E04B87" w:rsidRDefault="006521DD" w:rsidP="00E574CF">
      <w:pPr>
        <w:pStyle w:val="14ptheading"/>
        <w:rPr>
          <w:lang w:val="fr-CA"/>
        </w:rPr>
      </w:pPr>
      <w:r w:rsidRPr="00E04B87">
        <w:rPr>
          <w:lang w:val="fr-CA"/>
        </w:rPr>
        <w:t>Portée et application</w:t>
      </w:r>
    </w:p>
    <w:p w14:paraId="58A008F3" w14:textId="50BAD70D" w:rsidR="001A0819" w:rsidRPr="00E04B87" w:rsidRDefault="003607F1" w:rsidP="001A0819">
      <w:pPr>
        <w:rPr>
          <w:lang w:val="fr-CA"/>
        </w:rPr>
      </w:pPr>
      <w:r w:rsidRPr="00E04B87">
        <w:rPr>
          <w:lang w:val="fr-CA"/>
        </w:rPr>
        <w:t>La présente politique s’applique à tout le personnel participant à la sélection, à l’installation, à l’utilisation et à la maintenance continue des systèmes informatiques de la Première Nation.</w:t>
      </w:r>
    </w:p>
    <w:p w14:paraId="0E842BE5" w14:textId="2FB2B3CE" w:rsidR="001A0819" w:rsidRPr="00E04B87" w:rsidRDefault="006521DD" w:rsidP="00E574CF">
      <w:pPr>
        <w:pStyle w:val="14ptheading"/>
        <w:rPr>
          <w:lang w:val="fr-CA"/>
        </w:rPr>
      </w:pPr>
      <w:r w:rsidRPr="00E04B87">
        <w:rPr>
          <w:lang w:val="fr-CA"/>
        </w:rPr>
        <w:t>Responsabilités</w:t>
      </w:r>
    </w:p>
    <w:p w14:paraId="7F94ACF4" w14:textId="5448469C" w:rsidR="001A0819" w:rsidRPr="00E04B87" w:rsidRDefault="006521DD" w:rsidP="00E574CF">
      <w:pPr>
        <w:pStyle w:val="Heading3"/>
        <w:rPr>
          <w:lang w:val="fr-CA"/>
        </w:rPr>
      </w:pPr>
      <w:r w:rsidRPr="00E04B87">
        <w:rPr>
          <w:lang w:val="fr-CA"/>
        </w:rPr>
        <w:t>Le conseil de Première Nation a les responsabilités suivantes :</w:t>
      </w:r>
    </w:p>
    <w:p w14:paraId="05BC18C3" w14:textId="09EE9E31" w:rsidR="0082489F" w:rsidRPr="00E04B87" w:rsidRDefault="00EB1A70" w:rsidP="0082489F">
      <w:pPr>
        <w:pStyle w:val="ListParagraph"/>
        <w:rPr>
          <w:lang w:val="fr-CA"/>
        </w:rPr>
      </w:pPr>
      <w:proofErr w:type="gramStart"/>
      <w:r w:rsidRPr="00E04B87">
        <w:rPr>
          <w:lang w:val="fr-CA"/>
        </w:rPr>
        <w:t>approuver</w:t>
      </w:r>
      <w:proofErr w:type="gramEnd"/>
      <w:r w:rsidRPr="00E04B87">
        <w:rPr>
          <w:lang w:val="fr-CA"/>
        </w:rPr>
        <w:t xml:space="preserve"> la politique relative aux technologies de l’information de la Première Nation</w:t>
      </w:r>
    </w:p>
    <w:p w14:paraId="1C0E97BB" w14:textId="0D47D226" w:rsidR="0082489F" w:rsidRPr="00E04B87" w:rsidRDefault="006521DD" w:rsidP="0082489F">
      <w:pPr>
        <w:pStyle w:val="Heading3"/>
        <w:rPr>
          <w:lang w:val="fr-CA"/>
        </w:rPr>
      </w:pPr>
      <w:r w:rsidRPr="00E04B87">
        <w:rPr>
          <w:lang w:val="fr-CA"/>
        </w:rPr>
        <w:t>Le directeur général a les responsabilités suivantes :</w:t>
      </w:r>
    </w:p>
    <w:p w14:paraId="76DF9ED2" w14:textId="390A37D5" w:rsidR="0082489F" w:rsidRPr="00E04B87" w:rsidRDefault="00EB1A70" w:rsidP="0082489F">
      <w:pPr>
        <w:pStyle w:val="ListParagraph"/>
        <w:rPr>
          <w:color w:val="005FA5" w:themeColor="accent1"/>
          <w:lang w:val="fr-CA"/>
        </w:rPr>
      </w:pPr>
      <w:proofErr w:type="gramStart"/>
      <w:r w:rsidRPr="00E04B87">
        <w:rPr>
          <w:color w:val="005FA5" w:themeColor="accent1"/>
          <w:lang w:val="fr-CA"/>
        </w:rPr>
        <w:t>veiller</w:t>
      </w:r>
      <w:proofErr w:type="gramEnd"/>
      <w:r w:rsidRPr="00E04B87">
        <w:rPr>
          <w:color w:val="005FA5" w:themeColor="accent1"/>
          <w:lang w:val="fr-CA"/>
        </w:rPr>
        <w:t xml:space="preserve"> à ce que des contrôles relatifs aux technologies de l’information soient mis en place, </w:t>
      </w:r>
      <w:r w:rsidR="00F4728C" w:rsidRPr="00E04B87">
        <w:rPr>
          <w:color w:val="005FA5" w:themeColor="accent1"/>
          <w:lang w:val="fr-CA"/>
        </w:rPr>
        <w:t>qu’ils</w:t>
      </w:r>
      <w:r w:rsidRPr="00E04B87">
        <w:rPr>
          <w:color w:val="005FA5" w:themeColor="accent1"/>
          <w:lang w:val="fr-CA"/>
        </w:rPr>
        <w:t xml:space="preserve"> soient exécutés par du personnel interne ou par une entreprise externe</w:t>
      </w:r>
    </w:p>
    <w:p w14:paraId="7BDCDFD6" w14:textId="3D841C28" w:rsidR="0082489F" w:rsidRPr="00E04B87" w:rsidRDefault="00F4728C" w:rsidP="0082489F">
      <w:pPr>
        <w:pStyle w:val="ListParagraph"/>
        <w:rPr>
          <w:lang w:val="fr-CA"/>
        </w:rPr>
      </w:pPr>
      <w:proofErr w:type="gramStart"/>
      <w:r w:rsidRPr="00E04B87">
        <w:rPr>
          <w:lang w:val="fr-CA"/>
        </w:rPr>
        <w:t>établir</w:t>
      </w:r>
      <w:proofErr w:type="gramEnd"/>
      <w:r w:rsidRPr="00E04B87">
        <w:rPr>
          <w:lang w:val="fr-CA"/>
        </w:rPr>
        <w:t xml:space="preserve"> et mettre en œuvre des procédures documentées relativement aux technologies de l’information utilisées par la Première Nation</w:t>
      </w:r>
    </w:p>
    <w:p w14:paraId="63841731" w14:textId="2CD1B1E4" w:rsidR="0082489F" w:rsidRPr="00E04B87" w:rsidRDefault="00F4728C" w:rsidP="0082489F">
      <w:pPr>
        <w:pStyle w:val="ListParagraph"/>
        <w:rPr>
          <w:color w:val="005FA5" w:themeColor="accent1"/>
          <w:lang w:val="fr-CA"/>
        </w:rPr>
      </w:pPr>
      <w:proofErr w:type="gramStart"/>
      <w:r w:rsidRPr="00E04B87">
        <w:rPr>
          <w:color w:val="005FA5" w:themeColor="accent1"/>
          <w:lang w:val="fr-CA"/>
        </w:rPr>
        <w:t>surveiller</w:t>
      </w:r>
      <w:proofErr w:type="gramEnd"/>
      <w:r w:rsidRPr="00E04B87">
        <w:rPr>
          <w:color w:val="005FA5" w:themeColor="accent1"/>
          <w:lang w:val="fr-CA"/>
        </w:rPr>
        <w:t xml:space="preserve"> le rendement des professionnels des technologies de l’information internes </w:t>
      </w:r>
      <w:r w:rsidR="00AB19A7" w:rsidRPr="00E04B87">
        <w:rPr>
          <w:color w:val="005FA5" w:themeColor="accent1"/>
          <w:lang w:val="fr-CA"/>
        </w:rPr>
        <w:t>ou</w:t>
      </w:r>
      <w:r w:rsidRPr="00E04B87">
        <w:rPr>
          <w:color w:val="005FA5" w:themeColor="accent1"/>
          <w:lang w:val="fr-CA"/>
        </w:rPr>
        <w:t xml:space="preserve"> externes</w:t>
      </w:r>
    </w:p>
    <w:p w14:paraId="5D7A95C8" w14:textId="675BBA2D" w:rsidR="0082489F" w:rsidRPr="00E04B87" w:rsidRDefault="00F4728C" w:rsidP="0082489F">
      <w:pPr>
        <w:pStyle w:val="Heading3"/>
        <w:rPr>
          <w:lang w:val="fr-CA"/>
        </w:rPr>
      </w:pPr>
      <w:r w:rsidRPr="00E04B87">
        <w:rPr>
          <w:lang w:val="fr-CA"/>
        </w:rPr>
        <w:t>Le professionnel des technologies de l’information (interne ou externe) a les responsabilités suivantes :</w:t>
      </w:r>
    </w:p>
    <w:p w14:paraId="42D0F179" w14:textId="0C67278E" w:rsidR="0082489F" w:rsidRPr="00E04B87" w:rsidRDefault="00F4728C" w:rsidP="0082489F">
      <w:pPr>
        <w:pStyle w:val="ListParagraph"/>
        <w:rPr>
          <w:color w:val="005FA5" w:themeColor="accent1"/>
          <w:lang w:val="fr-CA"/>
        </w:rPr>
      </w:pPr>
      <w:proofErr w:type="gramStart"/>
      <w:r w:rsidRPr="00E04B87">
        <w:rPr>
          <w:color w:val="005FA5" w:themeColor="accent1"/>
          <w:lang w:val="fr-CA"/>
        </w:rPr>
        <w:t>maintenir</w:t>
      </w:r>
      <w:proofErr w:type="gramEnd"/>
      <w:r w:rsidRPr="00E04B87">
        <w:rPr>
          <w:color w:val="005FA5" w:themeColor="accent1"/>
          <w:lang w:val="fr-CA"/>
        </w:rPr>
        <w:t xml:space="preserve"> l’intégrité des systèmes informatiques de la Première Nation</w:t>
      </w:r>
    </w:p>
    <w:p w14:paraId="64CC844C" w14:textId="554828E7" w:rsidR="00DB6B2E" w:rsidRPr="00E04B87" w:rsidRDefault="006521DD" w:rsidP="00DB6B2E">
      <w:pPr>
        <w:pStyle w:val="14ptCAPS"/>
        <w:rPr>
          <w:lang w:val="fr-CA"/>
        </w:rPr>
      </w:pPr>
      <w:r w:rsidRPr="00E04B87">
        <w:rPr>
          <w:lang w:val="fr-CA"/>
        </w:rPr>
        <w:t>PROCÉDURES ADMINISTRATIVES</w:t>
      </w:r>
    </w:p>
    <w:p w14:paraId="14FC538B" w14:textId="6FEF4AE3" w:rsidR="001A0819" w:rsidRPr="00E04B87" w:rsidRDefault="006521DD" w:rsidP="00400B93">
      <w:pPr>
        <w:pStyle w:val="14ptheading"/>
        <w:rPr>
          <w:lang w:val="fr-CA"/>
        </w:rPr>
      </w:pPr>
      <w:r w:rsidRPr="00E04B87">
        <w:rPr>
          <w:lang w:val="fr-CA"/>
        </w:rPr>
        <w:t>Procédures</w:t>
      </w:r>
    </w:p>
    <w:p w14:paraId="2F1DBF9B" w14:textId="30A7A23C" w:rsidR="009B3DB1" w:rsidRPr="00E04B87" w:rsidRDefault="00EA77C3" w:rsidP="00403C77">
      <w:pPr>
        <w:pStyle w:val="Heading2"/>
        <w:rPr>
          <w:lang w:val="fr-CA"/>
        </w:rPr>
      </w:pPr>
      <w:bookmarkStart w:id="49" w:name="_Toc17376437"/>
      <w:r w:rsidRPr="00E04B87">
        <w:rPr>
          <w:lang w:val="fr-CA"/>
        </w:rPr>
        <w:t>Planification et évaluation</w:t>
      </w:r>
      <w:bookmarkEnd w:id="49"/>
    </w:p>
    <w:p w14:paraId="234C7B6C" w14:textId="3F578104" w:rsidR="001C00A3" w:rsidRPr="00E04B87" w:rsidRDefault="00EA77C3" w:rsidP="001C00A3">
      <w:pPr>
        <w:rPr>
          <w:color w:val="005FA5" w:themeColor="accent1"/>
          <w:lang w:val="fr-CA"/>
        </w:rPr>
      </w:pPr>
      <w:r w:rsidRPr="00E04B87">
        <w:rPr>
          <w:color w:val="005FA5" w:themeColor="accent1"/>
          <w:lang w:val="fr-CA"/>
        </w:rPr>
        <w:t xml:space="preserve">Le directeur général, en collaboration avec le professionnel des technologies de l’information (interne ou externe), veille à ce que soient développés des systèmes informatiques </w:t>
      </w:r>
      <w:r w:rsidR="00AB19A7" w:rsidRPr="00E04B87">
        <w:rPr>
          <w:color w:val="005FA5" w:themeColor="accent1"/>
          <w:lang w:val="fr-CA"/>
        </w:rPr>
        <w:t>qui soutiennent le</w:t>
      </w:r>
      <w:r w:rsidRPr="00E04B87">
        <w:rPr>
          <w:color w:val="005FA5" w:themeColor="accent1"/>
          <w:lang w:val="fr-CA"/>
        </w:rPr>
        <w:t xml:space="preserve"> plan stratégique et </w:t>
      </w:r>
      <w:r w:rsidR="00AB19A7" w:rsidRPr="00E04B87">
        <w:rPr>
          <w:color w:val="005FA5" w:themeColor="accent1"/>
          <w:lang w:val="fr-CA"/>
        </w:rPr>
        <w:t>les</w:t>
      </w:r>
      <w:r w:rsidRPr="00E04B87">
        <w:rPr>
          <w:color w:val="005FA5" w:themeColor="accent1"/>
          <w:lang w:val="fr-CA"/>
        </w:rPr>
        <w:t xml:space="preserve"> activités de la Première Nation.</w:t>
      </w:r>
    </w:p>
    <w:p w14:paraId="4827971B" w14:textId="36431A8F" w:rsidR="001C00A3" w:rsidRPr="00E04B87" w:rsidRDefault="00EA77C3" w:rsidP="001C00A3">
      <w:pPr>
        <w:rPr>
          <w:color w:val="018A27" w:themeColor="accent2"/>
          <w:lang w:val="fr-CA"/>
        </w:rPr>
      </w:pPr>
      <w:r w:rsidRPr="00E04B87">
        <w:rPr>
          <w:color w:val="018A27" w:themeColor="accent2"/>
          <w:lang w:val="fr-CA"/>
        </w:rPr>
        <w:t>Si aucun membre du personnel ne possède les compétences technique</w:t>
      </w:r>
      <w:r w:rsidR="001659E0" w:rsidRPr="00E04B87">
        <w:rPr>
          <w:color w:val="018A27" w:themeColor="accent2"/>
          <w:lang w:val="fr-CA"/>
        </w:rPr>
        <w:t>s</w:t>
      </w:r>
      <w:r w:rsidRPr="00E04B87">
        <w:rPr>
          <w:color w:val="018A27" w:themeColor="accent2"/>
          <w:lang w:val="fr-CA"/>
        </w:rPr>
        <w:t xml:space="preserve"> permettant de déterminer les exigences en matière de technologies de l’information ou d’évaluer les options, le directeur général obtient des conseils auprès d’une personne ou d’une entreprise externe qualifiée.</w:t>
      </w:r>
    </w:p>
    <w:p w14:paraId="31DCBB7B" w14:textId="1C902DC9" w:rsidR="001C00A3" w:rsidRPr="00E04B87" w:rsidRDefault="001659E0" w:rsidP="001C00A3">
      <w:pPr>
        <w:pStyle w:val="Heading2"/>
        <w:rPr>
          <w:lang w:val="fr-CA"/>
        </w:rPr>
      </w:pPr>
      <w:bookmarkStart w:id="50" w:name="_Toc17376438"/>
      <w:r w:rsidRPr="00E04B87">
        <w:rPr>
          <w:lang w:val="fr-CA"/>
        </w:rPr>
        <w:t>Impartition</w:t>
      </w:r>
      <w:bookmarkEnd w:id="50"/>
    </w:p>
    <w:p w14:paraId="7C111AE6" w14:textId="20F889F8" w:rsidR="001C00A3" w:rsidRPr="00E04B87" w:rsidRDefault="001659E0" w:rsidP="001C00A3">
      <w:pPr>
        <w:rPr>
          <w:color w:val="005FA5" w:themeColor="accent1"/>
          <w:lang w:val="fr-CA"/>
        </w:rPr>
      </w:pPr>
      <w:r w:rsidRPr="00E04B87">
        <w:rPr>
          <w:color w:val="005FA5" w:themeColor="accent1"/>
          <w:lang w:val="fr-CA"/>
        </w:rPr>
        <w:t>Sous réserve de la section portant sur les achats</w:t>
      </w:r>
      <w:r w:rsidR="00AB19A7" w:rsidRPr="00E04B87">
        <w:rPr>
          <w:color w:val="005FA5" w:themeColor="accent1"/>
          <w:lang w:val="fr-CA"/>
        </w:rPr>
        <w:t xml:space="preserve"> de la politique financière</w:t>
      </w:r>
      <w:r w:rsidRPr="00E04B87">
        <w:rPr>
          <w:color w:val="005FA5" w:themeColor="accent1"/>
          <w:lang w:val="fr-CA"/>
        </w:rPr>
        <w:t xml:space="preserve">, le directeur général a la responsabilité de sélectionner les sous-traitants qui fourniront des services informatiques, de définir ces services dans leurs contrats, </w:t>
      </w:r>
      <w:r w:rsidR="00AB19A7" w:rsidRPr="00E04B87">
        <w:rPr>
          <w:color w:val="005FA5" w:themeColor="accent1"/>
          <w:lang w:val="fr-CA"/>
        </w:rPr>
        <w:t>d’établir</w:t>
      </w:r>
      <w:r w:rsidRPr="00E04B87">
        <w:rPr>
          <w:color w:val="005FA5" w:themeColor="accent1"/>
          <w:lang w:val="fr-CA"/>
        </w:rPr>
        <w:t xml:space="preserve"> les accords sur les niveaux de service et d’administrer les contrats.</w:t>
      </w:r>
    </w:p>
    <w:p w14:paraId="3741D2C1" w14:textId="5B2871D6" w:rsidR="001C00A3" w:rsidRPr="00E04B87" w:rsidRDefault="00B75B3E" w:rsidP="001C00A3">
      <w:pPr>
        <w:rPr>
          <w:lang w:val="fr-CA"/>
        </w:rPr>
      </w:pPr>
      <w:r w:rsidRPr="00E04B87">
        <w:rPr>
          <w:lang w:val="fr-CA"/>
        </w:rPr>
        <w:t xml:space="preserve">L’approvisionnement en matière de services informatiques et les contrats définitifs conclus avec le fournisseur sélectionné doivent comporter </w:t>
      </w:r>
      <w:r w:rsidR="00924EA8" w:rsidRPr="00E04B87">
        <w:rPr>
          <w:lang w:val="fr-CA"/>
        </w:rPr>
        <w:t>les éléments suivants</w:t>
      </w:r>
      <w:r w:rsidRPr="00E04B87">
        <w:rPr>
          <w:lang w:val="fr-CA"/>
        </w:rPr>
        <w:t> :</w:t>
      </w:r>
    </w:p>
    <w:p w14:paraId="733F10D9" w14:textId="63B21038" w:rsidR="001C00A3" w:rsidRPr="00E04B87" w:rsidRDefault="00B75B3E" w:rsidP="001C00A3">
      <w:pPr>
        <w:pStyle w:val="ListParagraph"/>
        <w:rPr>
          <w:color w:val="018A27" w:themeColor="accent2"/>
          <w:lang w:val="fr-CA"/>
        </w:rPr>
      </w:pPr>
      <w:proofErr w:type="gramStart"/>
      <w:r w:rsidRPr="00E04B87">
        <w:rPr>
          <w:color w:val="018A27" w:themeColor="accent2"/>
          <w:lang w:val="fr-CA"/>
        </w:rPr>
        <w:t>l’exigence</w:t>
      </w:r>
      <w:proofErr w:type="gramEnd"/>
      <w:r w:rsidRPr="00E04B87">
        <w:rPr>
          <w:color w:val="018A27" w:themeColor="accent2"/>
          <w:lang w:val="fr-CA"/>
        </w:rPr>
        <w:t xml:space="preserve"> que le fournisseur remette des rapports périodiques sur </w:t>
      </w:r>
      <w:r w:rsidR="00924EA8" w:rsidRPr="00E04B87">
        <w:rPr>
          <w:color w:val="018A27" w:themeColor="accent2"/>
          <w:lang w:val="fr-CA"/>
        </w:rPr>
        <w:t>tous</w:t>
      </w:r>
      <w:r w:rsidRPr="00E04B87">
        <w:rPr>
          <w:color w:val="018A27" w:themeColor="accent2"/>
          <w:lang w:val="fr-CA"/>
        </w:rPr>
        <w:t xml:space="preserve"> les travaux réalisés sur les systèmes informatiques de la Première Nation</w:t>
      </w:r>
    </w:p>
    <w:p w14:paraId="557653C2" w14:textId="49B163CD" w:rsidR="001C00A3" w:rsidRPr="00E04B87" w:rsidRDefault="00EE5220" w:rsidP="001C00A3">
      <w:pPr>
        <w:pStyle w:val="ListParagraph"/>
        <w:rPr>
          <w:lang w:val="fr-CA"/>
        </w:rPr>
      </w:pPr>
      <w:proofErr w:type="gramStart"/>
      <w:r w:rsidRPr="00E04B87">
        <w:rPr>
          <w:lang w:val="fr-CA"/>
        </w:rPr>
        <w:t>l’exigence</w:t>
      </w:r>
      <w:proofErr w:type="gramEnd"/>
      <w:r w:rsidRPr="00E04B87">
        <w:rPr>
          <w:lang w:val="fr-CA"/>
        </w:rPr>
        <w:t xml:space="preserve"> que </w:t>
      </w:r>
      <w:r w:rsidR="00B44EDB" w:rsidRPr="00E04B87">
        <w:rPr>
          <w:lang w:val="fr-CA"/>
        </w:rPr>
        <w:t>le fournisseur externe soit</w:t>
      </w:r>
      <w:r w:rsidRPr="00E04B87">
        <w:rPr>
          <w:lang w:val="fr-CA"/>
        </w:rPr>
        <w:t xml:space="preserve"> </w:t>
      </w:r>
      <w:r w:rsidR="00924EA8" w:rsidRPr="00E04B87">
        <w:rPr>
          <w:lang w:val="fr-CA"/>
        </w:rPr>
        <w:t>responsable</w:t>
      </w:r>
      <w:r w:rsidRPr="00E04B87">
        <w:rPr>
          <w:lang w:val="fr-CA"/>
        </w:rPr>
        <w:t xml:space="preserve"> de se conformer aux obligations juridiques et réglementaires, y compris la protection de l’information confidentielle et des renseignements personnels</w:t>
      </w:r>
    </w:p>
    <w:p w14:paraId="37782E4A" w14:textId="352B2A6C" w:rsidR="001C00A3" w:rsidRPr="00E04B87" w:rsidRDefault="00BA6F14" w:rsidP="001C00A3">
      <w:pPr>
        <w:pStyle w:val="ListParagraph"/>
        <w:rPr>
          <w:lang w:val="fr-CA"/>
        </w:rPr>
      </w:pPr>
      <w:proofErr w:type="gramStart"/>
      <w:r w:rsidRPr="00E04B87">
        <w:rPr>
          <w:lang w:val="fr-CA"/>
        </w:rPr>
        <w:t>l</w:t>
      </w:r>
      <w:r w:rsidR="00B44EDB" w:rsidRPr="00E04B87">
        <w:rPr>
          <w:lang w:val="fr-CA"/>
        </w:rPr>
        <w:t>a</w:t>
      </w:r>
      <w:proofErr w:type="gramEnd"/>
      <w:r w:rsidR="00B44EDB" w:rsidRPr="00E04B87">
        <w:rPr>
          <w:lang w:val="fr-CA"/>
        </w:rPr>
        <w:t xml:space="preserve"> stipulation que l’</w:t>
      </w:r>
      <w:r w:rsidRPr="00E04B87">
        <w:rPr>
          <w:lang w:val="fr-CA"/>
        </w:rPr>
        <w:t xml:space="preserve">accès à l’information de la Première Nation par un </w:t>
      </w:r>
      <w:r w:rsidR="00B44EDB" w:rsidRPr="00E04B87">
        <w:rPr>
          <w:lang w:val="fr-CA"/>
        </w:rPr>
        <w:t>fournisseur externe</w:t>
      </w:r>
      <w:r w:rsidRPr="00E04B87">
        <w:rPr>
          <w:lang w:val="fr-CA"/>
        </w:rPr>
        <w:t xml:space="preserve"> n’est accordé que </w:t>
      </w:r>
      <w:r w:rsidR="00B44EDB" w:rsidRPr="00E04B87">
        <w:rPr>
          <w:lang w:val="fr-CA"/>
        </w:rPr>
        <w:t>si cet accès</w:t>
      </w:r>
      <w:r w:rsidRPr="00E04B87">
        <w:rPr>
          <w:lang w:val="fr-CA"/>
        </w:rPr>
        <w:t xml:space="preserve"> </w:t>
      </w:r>
      <w:r w:rsidR="000B7184">
        <w:rPr>
          <w:lang w:val="fr-CA"/>
        </w:rPr>
        <w:t xml:space="preserve">est </w:t>
      </w:r>
      <w:r w:rsidRPr="00E04B87">
        <w:rPr>
          <w:lang w:val="fr-CA"/>
        </w:rPr>
        <w:t>absolument nécessaire</w:t>
      </w:r>
    </w:p>
    <w:p w14:paraId="1894AD8B" w14:textId="5A5D4298" w:rsidR="001C00A3" w:rsidRPr="00E04B87" w:rsidRDefault="00127905" w:rsidP="001C00A3">
      <w:pPr>
        <w:pStyle w:val="Heading2"/>
        <w:rPr>
          <w:lang w:val="fr-CA"/>
        </w:rPr>
      </w:pPr>
      <w:bookmarkStart w:id="51" w:name="_Toc17376439"/>
      <w:r w:rsidRPr="00E04B87">
        <w:rPr>
          <w:lang w:val="fr-CA"/>
        </w:rPr>
        <w:t>Gestion des données</w:t>
      </w:r>
      <w:bookmarkEnd w:id="51"/>
    </w:p>
    <w:p w14:paraId="1AD26D1D" w14:textId="2A17BA08" w:rsidR="001C00A3" w:rsidRPr="00E04B87" w:rsidRDefault="00127905" w:rsidP="001C00A3">
      <w:pPr>
        <w:rPr>
          <w:color w:val="018A27" w:themeColor="accent2"/>
          <w:lang w:val="fr-CA"/>
        </w:rPr>
      </w:pPr>
      <w:r w:rsidRPr="00E04B87">
        <w:rPr>
          <w:color w:val="018A27" w:themeColor="accent2"/>
          <w:lang w:val="fr-CA"/>
        </w:rPr>
        <w:t xml:space="preserve">Sous réserve de la section de la présente politique portant sur la gestion des documents, les données sont conservées </w:t>
      </w:r>
      <w:proofErr w:type="gramStart"/>
      <w:r w:rsidRPr="00E04B87">
        <w:rPr>
          <w:color w:val="018A27" w:themeColor="accent2"/>
          <w:lang w:val="fr-CA"/>
        </w:rPr>
        <w:t>de manière à ce</w:t>
      </w:r>
      <w:proofErr w:type="gramEnd"/>
      <w:r w:rsidRPr="00E04B87">
        <w:rPr>
          <w:color w:val="018A27" w:themeColor="accent2"/>
          <w:lang w:val="fr-CA"/>
        </w:rPr>
        <w:t xml:space="preserve"> que le personnel désigné puisse </w:t>
      </w:r>
      <w:r w:rsidR="00217171" w:rsidRPr="00E04B87">
        <w:rPr>
          <w:color w:val="018A27" w:themeColor="accent2"/>
          <w:lang w:val="fr-CA"/>
        </w:rPr>
        <w:t xml:space="preserve">y </w:t>
      </w:r>
      <w:r w:rsidRPr="00E04B87">
        <w:rPr>
          <w:color w:val="018A27" w:themeColor="accent2"/>
          <w:lang w:val="fr-CA"/>
        </w:rPr>
        <w:t>accéder au besoin, en fonction du type de données conservées.</w:t>
      </w:r>
    </w:p>
    <w:p w14:paraId="15B0AD2E" w14:textId="7B62FB79" w:rsidR="001C00A3" w:rsidRPr="00E04B87" w:rsidRDefault="00B72AAA" w:rsidP="001C00A3">
      <w:pPr>
        <w:rPr>
          <w:color w:val="018A27" w:themeColor="accent2"/>
          <w:lang w:val="fr-CA"/>
        </w:rPr>
      </w:pPr>
      <w:r w:rsidRPr="00E04B87">
        <w:rPr>
          <w:color w:val="018A27" w:themeColor="accent2"/>
          <w:lang w:val="fr-CA"/>
        </w:rPr>
        <w:t>Une copie de sauvegarde doit être faite régulièrement pour t</w:t>
      </w:r>
      <w:r w:rsidR="00217171" w:rsidRPr="00E04B87">
        <w:rPr>
          <w:color w:val="018A27" w:themeColor="accent2"/>
          <w:lang w:val="fr-CA"/>
        </w:rPr>
        <w:t>outes les données sensibles, essentielles ou de valeur de la Première Nation stockées sur les systèmes informatiques de la Première Nation.</w:t>
      </w:r>
    </w:p>
    <w:p w14:paraId="35F087AB" w14:textId="2DE78094" w:rsidR="001C00A3" w:rsidRPr="00E04B87" w:rsidRDefault="007E62E0" w:rsidP="001C00A3">
      <w:pPr>
        <w:rPr>
          <w:lang w:val="fr-CA"/>
        </w:rPr>
      </w:pPr>
      <w:r w:rsidRPr="00E04B87">
        <w:rPr>
          <w:color w:val="018A27" w:themeColor="accent2"/>
          <w:lang w:val="fr-CA"/>
        </w:rPr>
        <w:t>Les disques de sauvegarde doivent être conservés dans un endroit sécuritaire auquel seul le directeur principal et certains membres du personnel désignés ont accès. Idéalement, les disques de sauvegarde sont conservé</w:t>
      </w:r>
      <w:r w:rsidR="00B82C8F" w:rsidRPr="00E04B87">
        <w:rPr>
          <w:color w:val="018A27" w:themeColor="accent2"/>
          <w:lang w:val="fr-CA"/>
        </w:rPr>
        <w:t>s</w:t>
      </w:r>
      <w:r w:rsidRPr="00E04B87">
        <w:rPr>
          <w:color w:val="018A27" w:themeColor="accent2"/>
          <w:lang w:val="fr-CA"/>
        </w:rPr>
        <w:t xml:space="preserve"> en sécurité à l’extérieur, dans un endroit facilement accessible </w:t>
      </w:r>
      <w:r w:rsidR="00B82C8F" w:rsidRPr="00E04B87">
        <w:rPr>
          <w:color w:val="018A27" w:themeColor="accent2"/>
          <w:lang w:val="fr-CA"/>
        </w:rPr>
        <w:t>pour</w:t>
      </w:r>
      <w:r w:rsidRPr="00E04B87">
        <w:rPr>
          <w:color w:val="018A27" w:themeColor="accent2"/>
          <w:lang w:val="fr-CA"/>
        </w:rPr>
        <w:t xml:space="preserve"> les personnes autorisées à y accéder. </w:t>
      </w:r>
    </w:p>
    <w:p w14:paraId="6791694F" w14:textId="668F86DD" w:rsidR="001C00A3" w:rsidRPr="00E04B87" w:rsidRDefault="00B82C8F" w:rsidP="001C00A3">
      <w:pPr>
        <w:pStyle w:val="Heading2"/>
        <w:rPr>
          <w:lang w:val="fr-CA"/>
        </w:rPr>
      </w:pPr>
      <w:bookmarkStart w:id="52" w:name="_Toc17376440"/>
      <w:r w:rsidRPr="00E04B87">
        <w:rPr>
          <w:lang w:val="fr-CA"/>
        </w:rPr>
        <w:t>Gestion des accès</w:t>
      </w:r>
      <w:bookmarkEnd w:id="52"/>
    </w:p>
    <w:p w14:paraId="5081F2C2" w14:textId="45E4D750" w:rsidR="001C00A3" w:rsidRPr="00E04B87" w:rsidRDefault="00753930" w:rsidP="001C00A3">
      <w:pPr>
        <w:rPr>
          <w:color w:val="018A27" w:themeColor="accent2"/>
          <w:lang w:val="fr-CA"/>
        </w:rPr>
      </w:pPr>
      <w:r w:rsidRPr="00E04B87">
        <w:rPr>
          <w:color w:val="018A27" w:themeColor="accent2"/>
          <w:lang w:val="fr-CA"/>
        </w:rPr>
        <w:t xml:space="preserve">Toutes les personnes ayant besoin d’accéder </w:t>
      </w:r>
      <w:r w:rsidR="00924EA8" w:rsidRPr="00E04B87">
        <w:rPr>
          <w:color w:val="018A27" w:themeColor="accent2"/>
          <w:lang w:val="fr-CA"/>
        </w:rPr>
        <w:t>aux systèmes informatiques</w:t>
      </w:r>
      <w:r w:rsidRPr="00E04B87">
        <w:rPr>
          <w:color w:val="018A27" w:themeColor="accent2"/>
          <w:lang w:val="fr-CA"/>
        </w:rPr>
        <w:t xml:space="preserve"> de la Première Nation </w:t>
      </w:r>
      <w:r w:rsidR="00924EA8" w:rsidRPr="00E04B87">
        <w:rPr>
          <w:color w:val="018A27" w:themeColor="accent2"/>
          <w:lang w:val="fr-CA"/>
        </w:rPr>
        <w:t>doivent</w:t>
      </w:r>
      <w:r w:rsidRPr="00E04B87">
        <w:rPr>
          <w:color w:val="018A27" w:themeColor="accent2"/>
          <w:lang w:val="fr-CA"/>
        </w:rPr>
        <w:t xml:space="preserve"> posséder un identifiant d’utilisateur unique. Il est interdit </w:t>
      </w:r>
      <w:r w:rsidR="000B7184">
        <w:rPr>
          <w:color w:val="018A27" w:themeColor="accent2"/>
          <w:lang w:val="fr-CA"/>
        </w:rPr>
        <w:t xml:space="preserve">de </w:t>
      </w:r>
      <w:r w:rsidRPr="00E04B87">
        <w:rPr>
          <w:color w:val="018A27" w:themeColor="accent2"/>
          <w:lang w:val="fr-CA"/>
        </w:rPr>
        <w:t>partager des identifiants ou des mots de passe.</w:t>
      </w:r>
    </w:p>
    <w:p w14:paraId="244AEE5F" w14:textId="73C85022" w:rsidR="001C00A3" w:rsidRPr="00E04B87" w:rsidRDefault="00753930" w:rsidP="001C00A3">
      <w:pPr>
        <w:rPr>
          <w:lang w:val="fr-CA"/>
        </w:rPr>
      </w:pPr>
      <w:r w:rsidRPr="00E04B87">
        <w:rPr>
          <w:lang w:val="fr-CA"/>
        </w:rPr>
        <w:t xml:space="preserve">Les demandes d’accès au réseau de la Première Nation, au système comptable ou à tout autre système à accès restreint doivent comprendre une description du rôle de l’employé et la justification du niveau d’accès demandé. Les approbations doivent être signées par le </w:t>
      </w:r>
      <w:r w:rsidRPr="00E04B87">
        <w:rPr>
          <w:color w:val="005FA5" w:themeColor="accent1"/>
          <w:lang w:val="fr-CA"/>
        </w:rPr>
        <w:t>directeur général</w:t>
      </w:r>
      <w:r w:rsidR="001C00A3" w:rsidRPr="00E04B87">
        <w:rPr>
          <w:lang w:val="fr-CA"/>
        </w:rPr>
        <w:t>.</w:t>
      </w:r>
    </w:p>
    <w:p w14:paraId="69A76995" w14:textId="6B69AC3E" w:rsidR="001C00A3" w:rsidRPr="00E04B87" w:rsidRDefault="00B55CEE" w:rsidP="001C00A3">
      <w:pPr>
        <w:rPr>
          <w:color w:val="018A27" w:themeColor="accent2"/>
          <w:lang w:val="fr-CA"/>
        </w:rPr>
      </w:pPr>
      <w:r w:rsidRPr="00E04B87">
        <w:rPr>
          <w:color w:val="018A27" w:themeColor="accent2"/>
          <w:lang w:val="fr-CA"/>
        </w:rPr>
        <w:t>Il est nécessaire de posséder un identifiant d’utilisateur et un mot de passe pour pouvoir accéder au réseau et aux programmes ou répertoires critiques, tels que le système comptable.</w:t>
      </w:r>
    </w:p>
    <w:p w14:paraId="568A6660" w14:textId="0C94FA13" w:rsidR="001C00A3" w:rsidRPr="00E04B87" w:rsidRDefault="008E1A25" w:rsidP="001C00A3">
      <w:pPr>
        <w:rPr>
          <w:color w:val="018A27" w:themeColor="accent2"/>
          <w:lang w:val="fr-CA"/>
        </w:rPr>
      </w:pPr>
      <w:r w:rsidRPr="00E04B87">
        <w:rPr>
          <w:color w:val="018A27" w:themeColor="accent2"/>
          <w:lang w:val="fr-CA"/>
        </w:rPr>
        <w:t xml:space="preserve">Les personnes se voient attribuer les privilèges d’accès </w:t>
      </w:r>
      <w:r w:rsidR="00924EA8" w:rsidRPr="00E04B87">
        <w:rPr>
          <w:color w:val="018A27" w:themeColor="accent2"/>
          <w:lang w:val="fr-CA"/>
        </w:rPr>
        <w:t>nécessaires</w:t>
      </w:r>
      <w:r w:rsidRPr="00E04B87">
        <w:rPr>
          <w:color w:val="018A27" w:themeColor="accent2"/>
          <w:lang w:val="fr-CA"/>
        </w:rPr>
        <w:t xml:space="preserve"> pour leur permettre de faire leur travail et de remplir leur</w:t>
      </w:r>
      <w:r w:rsidR="00B247A2" w:rsidRPr="00E04B87">
        <w:rPr>
          <w:color w:val="018A27" w:themeColor="accent2"/>
          <w:lang w:val="fr-CA"/>
        </w:rPr>
        <w:t>s</w:t>
      </w:r>
      <w:r w:rsidRPr="00E04B87">
        <w:rPr>
          <w:color w:val="018A27" w:themeColor="accent2"/>
          <w:lang w:val="fr-CA"/>
        </w:rPr>
        <w:t xml:space="preserve"> fonction</w:t>
      </w:r>
      <w:r w:rsidR="00B247A2" w:rsidRPr="00E04B87">
        <w:rPr>
          <w:color w:val="018A27" w:themeColor="accent2"/>
          <w:lang w:val="fr-CA"/>
        </w:rPr>
        <w:t>s</w:t>
      </w:r>
      <w:r w:rsidRPr="00E04B87">
        <w:rPr>
          <w:color w:val="018A27" w:themeColor="accent2"/>
          <w:lang w:val="fr-CA"/>
        </w:rPr>
        <w:t xml:space="preserve">, sans plus. Les systèmes et les applications ne doivent pas être configurés de manière à donner </w:t>
      </w:r>
      <w:r w:rsidR="00960227" w:rsidRPr="00E04B87">
        <w:rPr>
          <w:color w:val="018A27" w:themeColor="accent2"/>
          <w:lang w:val="fr-CA"/>
        </w:rPr>
        <w:t>libre</w:t>
      </w:r>
      <w:r w:rsidRPr="00E04B87">
        <w:rPr>
          <w:color w:val="018A27" w:themeColor="accent2"/>
          <w:lang w:val="fr-CA"/>
        </w:rPr>
        <w:t xml:space="preserve"> accès à toutes les données. </w:t>
      </w:r>
    </w:p>
    <w:p w14:paraId="16864446" w14:textId="04AB6AB0" w:rsidR="001C00A3" w:rsidRPr="00E04B87" w:rsidRDefault="004E4DAE" w:rsidP="001C00A3">
      <w:pPr>
        <w:rPr>
          <w:color w:val="018A27" w:themeColor="accent2"/>
          <w:lang w:val="fr-CA"/>
        </w:rPr>
      </w:pPr>
      <w:r w:rsidRPr="00E04B87">
        <w:rPr>
          <w:color w:val="018A27" w:themeColor="accent2"/>
          <w:lang w:val="fr-CA"/>
        </w:rPr>
        <w:t>Au moment</w:t>
      </w:r>
      <w:r w:rsidR="00960227" w:rsidRPr="00E04B87">
        <w:rPr>
          <w:color w:val="018A27" w:themeColor="accent2"/>
          <w:lang w:val="fr-CA"/>
        </w:rPr>
        <w:t xml:space="preserve"> de la cess</w:t>
      </w:r>
      <w:r w:rsidRPr="00E04B87">
        <w:rPr>
          <w:color w:val="018A27" w:themeColor="accent2"/>
          <w:lang w:val="fr-CA"/>
        </w:rPr>
        <w:t>a</w:t>
      </w:r>
      <w:r w:rsidR="00960227" w:rsidRPr="00E04B87">
        <w:rPr>
          <w:color w:val="018A27" w:themeColor="accent2"/>
          <w:lang w:val="fr-CA"/>
        </w:rPr>
        <w:t>tion d’emploi d’une personne, son identifiant d’utilisateur doit être désactivé immédiatement.</w:t>
      </w:r>
    </w:p>
    <w:p w14:paraId="37F5EB46" w14:textId="7724F439" w:rsidR="001C00A3" w:rsidRPr="00E04B87" w:rsidRDefault="004E4DAE" w:rsidP="001C00A3">
      <w:pPr>
        <w:rPr>
          <w:lang w:val="fr-CA"/>
        </w:rPr>
      </w:pPr>
      <w:r w:rsidRPr="00E04B87">
        <w:rPr>
          <w:color w:val="018A27" w:themeColor="accent2"/>
          <w:lang w:val="fr-CA"/>
        </w:rPr>
        <w:t xml:space="preserve">Le personnel de soutien doit avertir l’utilisateur d’un ordinateur lorsqu’il tente d’en prendre le contrôle. Tous les logiciels téléchargés afin de permettre la prise de contrôle à distance </w:t>
      </w:r>
      <w:r w:rsidR="003F2453" w:rsidRPr="00E04B87">
        <w:rPr>
          <w:color w:val="018A27" w:themeColor="accent2"/>
          <w:lang w:val="fr-CA"/>
        </w:rPr>
        <w:t xml:space="preserve">d’un </w:t>
      </w:r>
      <w:r w:rsidRPr="00E04B87">
        <w:rPr>
          <w:color w:val="018A27" w:themeColor="accent2"/>
          <w:lang w:val="fr-CA"/>
        </w:rPr>
        <w:t xml:space="preserve">ordinateur doivent être supprimés une fois le soutien terminé. </w:t>
      </w:r>
      <w:r w:rsidR="003F0BF9" w:rsidRPr="00E04B87">
        <w:rPr>
          <w:color w:val="018A27" w:themeColor="accent2"/>
          <w:lang w:val="fr-CA"/>
        </w:rPr>
        <w:t>L’utilisation de</w:t>
      </w:r>
      <w:r w:rsidR="00131D76" w:rsidRPr="00E04B87">
        <w:rPr>
          <w:color w:val="018A27" w:themeColor="accent2"/>
          <w:lang w:val="fr-CA"/>
        </w:rPr>
        <w:t xml:space="preserve"> logiciel</w:t>
      </w:r>
      <w:r w:rsidR="000B7184">
        <w:rPr>
          <w:color w:val="018A27" w:themeColor="accent2"/>
          <w:lang w:val="fr-CA"/>
        </w:rPr>
        <w:t>s</w:t>
      </w:r>
      <w:r w:rsidR="00131D76" w:rsidRPr="00E04B87">
        <w:rPr>
          <w:color w:val="018A27" w:themeColor="accent2"/>
          <w:lang w:val="fr-CA"/>
        </w:rPr>
        <w:t xml:space="preserve"> de contrôle à distance doit être conforme aux ententes applicables. </w:t>
      </w:r>
    </w:p>
    <w:p w14:paraId="704FBEF5" w14:textId="224146C3" w:rsidR="001C00A3" w:rsidRPr="00E04B87" w:rsidRDefault="003F2453" w:rsidP="001C00A3">
      <w:pPr>
        <w:pStyle w:val="Heading2"/>
        <w:rPr>
          <w:lang w:val="fr-CA"/>
        </w:rPr>
      </w:pPr>
      <w:bookmarkStart w:id="53" w:name="_Toc17376441"/>
      <w:r w:rsidRPr="00E04B87">
        <w:rPr>
          <w:lang w:val="fr-CA"/>
        </w:rPr>
        <w:t>Sécurité informatique</w:t>
      </w:r>
      <w:bookmarkEnd w:id="53"/>
    </w:p>
    <w:p w14:paraId="3E5DB7BD" w14:textId="41E4319B" w:rsidR="001C00A3" w:rsidRPr="00E04B87" w:rsidRDefault="003F2453" w:rsidP="001C00A3">
      <w:pPr>
        <w:rPr>
          <w:lang w:val="fr-CA"/>
        </w:rPr>
      </w:pPr>
      <w:r w:rsidRPr="00E04B87">
        <w:rPr>
          <w:lang w:val="fr-CA"/>
        </w:rPr>
        <w:t xml:space="preserve">Des outils et des techniques informatiques doivent être mis en œuvre afin de restreindre l’accès aux programmes et aux données. </w:t>
      </w:r>
    </w:p>
    <w:p w14:paraId="2C5E9585" w14:textId="75BA7042" w:rsidR="001C00A3" w:rsidRPr="00E04B87" w:rsidRDefault="003F2453" w:rsidP="001C00A3">
      <w:pPr>
        <w:rPr>
          <w:lang w:val="fr-CA"/>
        </w:rPr>
      </w:pPr>
      <w:r w:rsidRPr="00E04B87">
        <w:rPr>
          <w:lang w:val="fr-CA"/>
        </w:rPr>
        <w:t xml:space="preserve">Les outils et les techniques informatiques sont administrés de façon à restreindre l’accès aux programmes et aux données. </w:t>
      </w:r>
    </w:p>
    <w:p w14:paraId="439ACA36" w14:textId="45182CE9" w:rsidR="001C00A3" w:rsidRPr="00E04B87" w:rsidRDefault="003740AB" w:rsidP="001C00A3">
      <w:pPr>
        <w:rPr>
          <w:color w:val="018A27" w:themeColor="accent2"/>
          <w:lang w:val="fr-CA"/>
        </w:rPr>
      </w:pPr>
      <w:r w:rsidRPr="00E04B87">
        <w:rPr>
          <w:color w:val="018A27" w:themeColor="accent2"/>
          <w:lang w:val="fr-CA"/>
        </w:rPr>
        <w:t xml:space="preserve">Tous les ordinateurs doivent être munis d’un logiciel antivirus approuvé. Les </w:t>
      </w:r>
      <w:r w:rsidR="003F0BF9" w:rsidRPr="00E04B87">
        <w:rPr>
          <w:color w:val="018A27" w:themeColor="accent2"/>
          <w:lang w:val="fr-CA"/>
        </w:rPr>
        <w:t>normes</w:t>
      </w:r>
      <w:r w:rsidRPr="00E04B87">
        <w:rPr>
          <w:color w:val="018A27" w:themeColor="accent2"/>
          <w:lang w:val="fr-CA"/>
        </w:rPr>
        <w:t xml:space="preserve"> suivantes doivent être respectées :</w:t>
      </w:r>
    </w:p>
    <w:p w14:paraId="244C4A9E" w14:textId="42338675" w:rsidR="001C00A3" w:rsidRPr="00E04B87" w:rsidRDefault="003740AB" w:rsidP="009845A2">
      <w:pPr>
        <w:pStyle w:val="ListParagraph"/>
        <w:rPr>
          <w:color w:val="018A27" w:themeColor="accent2"/>
          <w:lang w:val="fr-CA"/>
        </w:rPr>
      </w:pPr>
      <w:proofErr w:type="gramStart"/>
      <w:r w:rsidRPr="00E04B87">
        <w:rPr>
          <w:color w:val="018A27" w:themeColor="accent2"/>
          <w:lang w:val="fr-CA"/>
        </w:rPr>
        <w:t>le</w:t>
      </w:r>
      <w:proofErr w:type="gramEnd"/>
      <w:r w:rsidRPr="00E04B87">
        <w:rPr>
          <w:color w:val="018A27" w:themeColor="accent2"/>
          <w:lang w:val="fr-CA"/>
        </w:rPr>
        <w:t xml:space="preserve"> logiciel antivirus ne doit pas être désactivé, il doit être configuré de façon à analyser tous les programmes et tous les fichiers au moment de leur exécution et il doit comporter une protection en temps réel active</w:t>
      </w:r>
    </w:p>
    <w:p w14:paraId="1DD75070" w14:textId="67F69B3E" w:rsidR="001C00A3" w:rsidRPr="00E04B87" w:rsidRDefault="00801F5C" w:rsidP="009845A2">
      <w:pPr>
        <w:pStyle w:val="ListParagraph"/>
        <w:rPr>
          <w:lang w:val="fr-CA"/>
        </w:rPr>
      </w:pPr>
      <w:proofErr w:type="gramStart"/>
      <w:r w:rsidRPr="00E04B87">
        <w:rPr>
          <w:color w:val="018A27" w:themeColor="accent2"/>
          <w:lang w:val="fr-CA"/>
        </w:rPr>
        <w:t>les</w:t>
      </w:r>
      <w:proofErr w:type="gramEnd"/>
      <w:r w:rsidRPr="00E04B87">
        <w:rPr>
          <w:color w:val="018A27" w:themeColor="accent2"/>
          <w:lang w:val="fr-CA"/>
        </w:rPr>
        <w:t xml:space="preserve"> fichiers des logiciels antivirus doivent être mis à jour régulièrement sur le réseau ou dès qu’une menace est détectée </w:t>
      </w:r>
    </w:p>
    <w:p w14:paraId="6835A5A3" w14:textId="666F0551" w:rsidR="001C00A3" w:rsidRPr="00E04B87" w:rsidRDefault="00924EA8" w:rsidP="001C00A3">
      <w:pPr>
        <w:rPr>
          <w:color w:val="018A27" w:themeColor="accent2"/>
          <w:lang w:val="fr-CA"/>
        </w:rPr>
      </w:pPr>
      <w:r w:rsidRPr="00E04B87">
        <w:rPr>
          <w:color w:val="018A27" w:themeColor="accent2"/>
          <w:lang w:val="fr-CA"/>
        </w:rPr>
        <w:t>Les pares-feux</w:t>
      </w:r>
      <w:r w:rsidR="00A04B20" w:rsidRPr="00E04B87">
        <w:rPr>
          <w:color w:val="018A27" w:themeColor="accent2"/>
          <w:lang w:val="fr-CA"/>
        </w:rPr>
        <w:t xml:space="preserve"> du réseau doivent être configurés </w:t>
      </w:r>
      <w:r w:rsidR="003F0BF9" w:rsidRPr="00E04B87">
        <w:rPr>
          <w:color w:val="018A27" w:themeColor="accent2"/>
          <w:lang w:val="fr-CA"/>
        </w:rPr>
        <w:t>selon une approche du</w:t>
      </w:r>
      <w:r w:rsidR="00A04B20" w:rsidRPr="00E04B87">
        <w:rPr>
          <w:color w:val="018A27" w:themeColor="accent2"/>
          <w:lang w:val="fr-CA"/>
        </w:rPr>
        <w:t xml:space="preserve"> droit d’accès minimal </w:t>
      </w:r>
      <w:proofErr w:type="gramStart"/>
      <w:r w:rsidR="003F0BF9" w:rsidRPr="00E04B87">
        <w:rPr>
          <w:color w:val="018A27" w:themeColor="accent2"/>
          <w:lang w:val="fr-CA"/>
        </w:rPr>
        <w:t>de façon à ce</w:t>
      </w:r>
      <w:proofErr w:type="gramEnd"/>
      <w:r w:rsidR="00A04B20" w:rsidRPr="00E04B87">
        <w:rPr>
          <w:color w:val="018A27" w:themeColor="accent2"/>
          <w:lang w:val="fr-CA"/>
        </w:rPr>
        <w:t xml:space="preserve"> que seuls des systèmes, des services et des protocoles précis puissent communiquer entre eux sur le réseau. </w:t>
      </w:r>
      <w:r w:rsidR="00DF2084" w:rsidRPr="00E04B87">
        <w:rPr>
          <w:color w:val="018A27" w:themeColor="accent2"/>
          <w:lang w:val="fr-CA"/>
        </w:rPr>
        <w:t xml:space="preserve">L’accès </w:t>
      </w:r>
      <w:r w:rsidR="000B7184">
        <w:rPr>
          <w:color w:val="018A27" w:themeColor="accent2"/>
          <w:lang w:val="fr-CA"/>
        </w:rPr>
        <w:t>logiciel</w:t>
      </w:r>
      <w:r w:rsidR="00DF2084" w:rsidRPr="00E04B87">
        <w:rPr>
          <w:color w:val="018A27" w:themeColor="accent2"/>
          <w:lang w:val="fr-CA"/>
        </w:rPr>
        <w:t xml:space="preserve"> et physique à ces systèmes doit être limité au personnel possédant la formation et les accès nécessaires pour gérer ces systèmes. </w:t>
      </w:r>
      <w:r w:rsidR="002E7997" w:rsidRPr="00E04B87">
        <w:rPr>
          <w:color w:val="018A27" w:themeColor="accent2"/>
          <w:lang w:val="fr-CA"/>
        </w:rPr>
        <w:t>De plus, les normes de pare-feu suivantes doivent être observées :</w:t>
      </w:r>
    </w:p>
    <w:p w14:paraId="6D204CF5" w14:textId="57B1227A" w:rsidR="001C00A3" w:rsidRPr="00E04B87" w:rsidRDefault="00924EA8" w:rsidP="00E002B7">
      <w:pPr>
        <w:pStyle w:val="ListParagraph"/>
        <w:rPr>
          <w:color w:val="018A27" w:themeColor="accent2"/>
          <w:lang w:val="fr-CA"/>
        </w:rPr>
      </w:pPr>
      <w:proofErr w:type="gramStart"/>
      <w:r w:rsidRPr="00E04B87">
        <w:rPr>
          <w:color w:val="018A27" w:themeColor="accent2"/>
          <w:lang w:val="fr-CA"/>
        </w:rPr>
        <w:t>des</w:t>
      </w:r>
      <w:proofErr w:type="gramEnd"/>
      <w:r w:rsidRPr="00E04B87">
        <w:rPr>
          <w:color w:val="018A27" w:themeColor="accent2"/>
          <w:lang w:val="fr-CA"/>
        </w:rPr>
        <w:t xml:space="preserve"> pares-feux</w:t>
      </w:r>
      <w:r w:rsidR="00C36142" w:rsidRPr="00E04B87">
        <w:rPr>
          <w:color w:val="018A27" w:themeColor="accent2"/>
          <w:lang w:val="fr-CA"/>
        </w:rPr>
        <w:t xml:space="preserve"> et des serveurs mandataires doivent être installés de façon sécuritaire</w:t>
      </w:r>
    </w:p>
    <w:p w14:paraId="0B353EAE" w14:textId="02C02FDB" w:rsidR="001C00A3" w:rsidRPr="00E04B87" w:rsidRDefault="00C36142" w:rsidP="00E002B7">
      <w:pPr>
        <w:pStyle w:val="ListParagraph"/>
        <w:rPr>
          <w:color w:val="018A27" w:themeColor="accent2"/>
          <w:lang w:val="fr-CA"/>
        </w:rPr>
      </w:pPr>
      <w:proofErr w:type="gramStart"/>
      <w:r w:rsidRPr="00E04B87">
        <w:rPr>
          <w:color w:val="018A27" w:themeColor="accent2"/>
          <w:lang w:val="fr-CA"/>
        </w:rPr>
        <w:t>des</w:t>
      </w:r>
      <w:proofErr w:type="gramEnd"/>
      <w:r w:rsidRPr="00E04B87">
        <w:rPr>
          <w:color w:val="018A27" w:themeColor="accent2"/>
          <w:lang w:val="fr-CA"/>
        </w:rPr>
        <w:t xml:space="preserve"> journaux </w:t>
      </w:r>
      <w:r w:rsidR="002105AC" w:rsidRPr="00E04B87">
        <w:rPr>
          <w:color w:val="018A27" w:themeColor="accent2"/>
          <w:lang w:val="fr-CA"/>
        </w:rPr>
        <w:t xml:space="preserve">détaillés </w:t>
      </w:r>
      <w:r w:rsidRPr="00E04B87">
        <w:rPr>
          <w:color w:val="018A27" w:themeColor="accent2"/>
          <w:lang w:val="fr-CA"/>
        </w:rPr>
        <w:t>d</w:t>
      </w:r>
      <w:r w:rsidR="002105AC" w:rsidRPr="00E04B87">
        <w:rPr>
          <w:color w:val="018A27" w:themeColor="accent2"/>
          <w:lang w:val="fr-CA"/>
        </w:rPr>
        <w:t>e l</w:t>
      </w:r>
      <w:r w:rsidRPr="00E04B87">
        <w:rPr>
          <w:color w:val="018A27" w:themeColor="accent2"/>
          <w:lang w:val="fr-CA"/>
        </w:rPr>
        <w:t xml:space="preserve">’activité </w:t>
      </w:r>
      <w:r w:rsidR="00E04B87" w:rsidRPr="00E04B87">
        <w:rPr>
          <w:color w:val="018A27" w:themeColor="accent2"/>
          <w:lang w:val="fr-CA"/>
        </w:rPr>
        <w:t>des pares-feux</w:t>
      </w:r>
      <w:r w:rsidRPr="00E04B87">
        <w:rPr>
          <w:color w:val="018A27" w:themeColor="accent2"/>
          <w:lang w:val="fr-CA"/>
        </w:rPr>
        <w:t xml:space="preserve"> doivent être générés</w:t>
      </w:r>
    </w:p>
    <w:p w14:paraId="14B24D70" w14:textId="51C83A51" w:rsidR="001C00A3" w:rsidRPr="00E04B87" w:rsidRDefault="00C36142" w:rsidP="00E002B7">
      <w:pPr>
        <w:pStyle w:val="ListParagraph"/>
        <w:rPr>
          <w:lang w:val="fr-CA"/>
        </w:rPr>
      </w:pPr>
      <w:proofErr w:type="gramStart"/>
      <w:r w:rsidRPr="00E04B87">
        <w:rPr>
          <w:color w:val="018A27" w:themeColor="accent2"/>
          <w:lang w:val="fr-CA"/>
        </w:rPr>
        <w:t>une</w:t>
      </w:r>
      <w:proofErr w:type="gramEnd"/>
      <w:r w:rsidRPr="00E04B87">
        <w:rPr>
          <w:color w:val="018A27" w:themeColor="accent2"/>
          <w:lang w:val="fr-CA"/>
        </w:rPr>
        <w:t xml:space="preserve"> alerte doit être donnée en cas de panne de services ou de processus importants</w:t>
      </w:r>
    </w:p>
    <w:p w14:paraId="17518C52" w14:textId="12D8F961" w:rsidR="001C00A3" w:rsidRPr="00E04B87" w:rsidRDefault="00A673A5" w:rsidP="00E002B7">
      <w:pPr>
        <w:pStyle w:val="Heading2"/>
        <w:rPr>
          <w:lang w:val="fr-CA"/>
        </w:rPr>
      </w:pPr>
      <w:bookmarkStart w:id="54" w:name="_Toc17376442"/>
      <w:r w:rsidRPr="00E04B87">
        <w:rPr>
          <w:lang w:val="fr-CA"/>
        </w:rPr>
        <w:t xml:space="preserve">Gestion </w:t>
      </w:r>
      <w:r w:rsidR="00363B1B" w:rsidRPr="00E04B87">
        <w:rPr>
          <w:lang w:val="fr-CA"/>
        </w:rPr>
        <w:t>des</w:t>
      </w:r>
      <w:r w:rsidRPr="00E04B87">
        <w:rPr>
          <w:lang w:val="fr-CA"/>
        </w:rPr>
        <w:t xml:space="preserve"> changement</w:t>
      </w:r>
      <w:bookmarkEnd w:id="54"/>
      <w:r w:rsidR="00363B1B" w:rsidRPr="00E04B87">
        <w:rPr>
          <w:lang w:val="fr-CA"/>
        </w:rPr>
        <w:t>s</w:t>
      </w:r>
    </w:p>
    <w:p w14:paraId="2E80D5F8" w14:textId="1A50CEBF" w:rsidR="001C00A3" w:rsidRPr="00E04B87" w:rsidRDefault="0080365A" w:rsidP="001C00A3">
      <w:pPr>
        <w:rPr>
          <w:lang w:val="fr-CA"/>
        </w:rPr>
      </w:pPr>
      <w:r w:rsidRPr="00E04B87">
        <w:rPr>
          <w:lang w:val="fr-CA"/>
        </w:rPr>
        <w:t xml:space="preserve">Toute nouvelle structure de données ou toute modification d’une structure de données existante doit être testée avant d’être mise en œuvre. </w:t>
      </w:r>
    </w:p>
    <w:p w14:paraId="1F9D5D11" w14:textId="1EAF6234" w:rsidR="001C00A3" w:rsidRPr="00E04B87" w:rsidRDefault="006A4B55" w:rsidP="001C00A3">
      <w:pPr>
        <w:rPr>
          <w:lang w:val="fr-CA"/>
        </w:rPr>
      </w:pPr>
      <w:r w:rsidRPr="00E04B87">
        <w:rPr>
          <w:lang w:val="fr-CA"/>
        </w:rPr>
        <w:t xml:space="preserve">Tous les ordinateurs, tout le matériel, tous les logiciels et tous les systèmes de communication utilisés dans un environnement de production doivent suivre un processus de contrôle des changements documenté. </w:t>
      </w:r>
      <w:r w:rsidR="007162EB" w:rsidRPr="00E04B87">
        <w:rPr>
          <w:lang w:val="fr-CA"/>
        </w:rPr>
        <w:t xml:space="preserve">Le </w:t>
      </w:r>
      <w:r w:rsidR="00924EA8" w:rsidRPr="00E04B87">
        <w:rPr>
          <w:lang w:val="fr-CA"/>
        </w:rPr>
        <w:t>processus</w:t>
      </w:r>
      <w:r w:rsidR="007162EB" w:rsidRPr="00E04B87">
        <w:rPr>
          <w:lang w:val="fr-CA"/>
        </w:rPr>
        <w:t xml:space="preserve"> de gestion des changements doit comprendre les </w:t>
      </w:r>
      <w:r w:rsidR="00263296">
        <w:rPr>
          <w:lang w:val="fr-CA"/>
        </w:rPr>
        <w:t>éléments suivants</w:t>
      </w:r>
      <w:r w:rsidR="007162EB" w:rsidRPr="00E04B87">
        <w:rPr>
          <w:lang w:val="fr-CA"/>
        </w:rPr>
        <w:t> :</w:t>
      </w:r>
    </w:p>
    <w:p w14:paraId="513746C2" w14:textId="48AC2CC1" w:rsidR="007162EB" w:rsidRPr="00E04B87" w:rsidRDefault="007162EB" w:rsidP="00EC4DDC">
      <w:pPr>
        <w:pStyle w:val="ListParagraph"/>
        <w:rPr>
          <w:lang w:val="fr-CA"/>
        </w:rPr>
      </w:pPr>
      <w:proofErr w:type="gramStart"/>
      <w:r w:rsidRPr="00E04B87">
        <w:rPr>
          <w:lang w:val="fr-CA"/>
        </w:rPr>
        <w:t>structure</w:t>
      </w:r>
      <w:proofErr w:type="gramEnd"/>
      <w:r w:rsidRPr="00E04B87">
        <w:rPr>
          <w:lang w:val="fr-CA"/>
        </w:rPr>
        <w:t xml:space="preserve"> des données correspond</w:t>
      </w:r>
      <w:r w:rsidR="00263296">
        <w:rPr>
          <w:lang w:val="fr-CA"/>
        </w:rPr>
        <w:t>ant</w:t>
      </w:r>
      <w:r w:rsidRPr="00E04B87">
        <w:rPr>
          <w:lang w:val="fr-CA"/>
        </w:rPr>
        <w:t xml:space="preserve"> aux besoins de la Première Nation</w:t>
      </w:r>
    </w:p>
    <w:p w14:paraId="73082413" w14:textId="33A4DD46" w:rsidR="001C00A3" w:rsidRPr="00E04B87" w:rsidRDefault="007162EB" w:rsidP="00EC4DDC">
      <w:pPr>
        <w:pStyle w:val="ListParagraph"/>
        <w:rPr>
          <w:lang w:val="fr-CA"/>
        </w:rPr>
      </w:pPr>
      <w:proofErr w:type="gramStart"/>
      <w:r w:rsidRPr="00E04B87">
        <w:rPr>
          <w:lang w:val="fr-CA"/>
        </w:rPr>
        <w:t>description</w:t>
      </w:r>
      <w:proofErr w:type="gramEnd"/>
      <w:r w:rsidRPr="00E04B87">
        <w:rPr>
          <w:lang w:val="fr-CA"/>
        </w:rPr>
        <w:t xml:space="preserve"> et justification des changements touchant le réseau, le matériel, les logiciels ou les systèmes de communication et explication de la façon dont le changement répond aux besoins de la Première Nation</w:t>
      </w:r>
    </w:p>
    <w:p w14:paraId="11E3603C" w14:textId="2870DD52" w:rsidR="00950609" w:rsidRPr="00E04B87" w:rsidRDefault="00950609" w:rsidP="00EC4DDC">
      <w:pPr>
        <w:pStyle w:val="ListParagraph"/>
        <w:rPr>
          <w:color w:val="018A27" w:themeColor="accent2"/>
          <w:lang w:val="fr-CA"/>
        </w:rPr>
      </w:pPr>
      <w:proofErr w:type="gramStart"/>
      <w:r w:rsidRPr="00E04B87">
        <w:rPr>
          <w:color w:val="018A27" w:themeColor="accent2"/>
          <w:lang w:val="fr-CA"/>
        </w:rPr>
        <w:t>évaluation</w:t>
      </w:r>
      <w:proofErr w:type="gramEnd"/>
      <w:r w:rsidRPr="00E04B87">
        <w:rPr>
          <w:color w:val="018A27" w:themeColor="accent2"/>
          <w:lang w:val="fr-CA"/>
        </w:rPr>
        <w:t xml:space="preserve"> de tout risque inhérent au changement</w:t>
      </w:r>
    </w:p>
    <w:p w14:paraId="08D78914" w14:textId="4BCAAFA1" w:rsidR="001C00A3" w:rsidRPr="00E04B87" w:rsidRDefault="00950609" w:rsidP="00EC4DDC">
      <w:pPr>
        <w:pStyle w:val="ListParagraph"/>
        <w:rPr>
          <w:color w:val="018A27" w:themeColor="accent2"/>
          <w:lang w:val="fr-CA"/>
        </w:rPr>
      </w:pPr>
      <w:proofErr w:type="gramStart"/>
      <w:r w:rsidRPr="00E04B87">
        <w:rPr>
          <w:color w:val="018A27" w:themeColor="accent2"/>
          <w:lang w:val="fr-CA"/>
        </w:rPr>
        <w:t>éléments</w:t>
      </w:r>
      <w:proofErr w:type="gramEnd"/>
      <w:r w:rsidRPr="00E04B87">
        <w:rPr>
          <w:color w:val="018A27" w:themeColor="accent2"/>
          <w:lang w:val="fr-CA"/>
        </w:rPr>
        <w:t xml:space="preserve"> à considérer en matière de reprise </w:t>
      </w:r>
      <w:r w:rsidR="001A7340" w:rsidRPr="00E04B87">
        <w:rPr>
          <w:color w:val="018A27" w:themeColor="accent2"/>
          <w:lang w:val="fr-CA"/>
        </w:rPr>
        <w:t>au</w:t>
      </w:r>
      <w:r w:rsidRPr="00E04B87">
        <w:rPr>
          <w:color w:val="018A27" w:themeColor="accent2"/>
          <w:lang w:val="fr-CA"/>
        </w:rPr>
        <w:t xml:space="preserve"> point de contrôle</w:t>
      </w:r>
    </w:p>
    <w:p w14:paraId="4FB2793D" w14:textId="39E9C034" w:rsidR="001C00A3" w:rsidRPr="00E04B87" w:rsidRDefault="00950609" w:rsidP="00EC4DDC">
      <w:pPr>
        <w:pStyle w:val="ListParagraph"/>
        <w:rPr>
          <w:color w:val="018A27" w:themeColor="accent2"/>
          <w:lang w:val="fr-CA"/>
        </w:rPr>
      </w:pPr>
      <w:proofErr w:type="gramStart"/>
      <w:r w:rsidRPr="00E04B87">
        <w:rPr>
          <w:color w:val="018A27" w:themeColor="accent2"/>
          <w:lang w:val="fr-CA"/>
        </w:rPr>
        <w:t>éléments</w:t>
      </w:r>
      <w:proofErr w:type="gramEnd"/>
      <w:r w:rsidRPr="00E04B87">
        <w:rPr>
          <w:color w:val="018A27" w:themeColor="accent2"/>
          <w:lang w:val="fr-CA"/>
        </w:rPr>
        <w:t xml:space="preserve"> à considérer en matière de mise en œuvre </w:t>
      </w:r>
    </w:p>
    <w:p w14:paraId="49ECB246" w14:textId="0D8CF905" w:rsidR="00950609" w:rsidRPr="00E04B87" w:rsidRDefault="00950609" w:rsidP="00EC4DDC">
      <w:pPr>
        <w:pStyle w:val="ListParagraph"/>
        <w:rPr>
          <w:color w:val="018A27" w:themeColor="accent2"/>
          <w:lang w:val="fr-CA"/>
        </w:rPr>
      </w:pPr>
      <w:proofErr w:type="gramStart"/>
      <w:r w:rsidRPr="00E04B87">
        <w:rPr>
          <w:color w:val="018A27" w:themeColor="accent2"/>
          <w:lang w:val="fr-CA"/>
        </w:rPr>
        <w:t>description</w:t>
      </w:r>
      <w:proofErr w:type="gramEnd"/>
      <w:r w:rsidRPr="00E04B87">
        <w:rPr>
          <w:color w:val="018A27" w:themeColor="accent2"/>
          <w:lang w:val="fr-CA"/>
        </w:rPr>
        <w:t xml:space="preserve"> des tests nécessaires</w:t>
      </w:r>
    </w:p>
    <w:p w14:paraId="0CE2031D" w14:textId="070B87AD" w:rsidR="001C00A3" w:rsidRPr="00E04B87" w:rsidRDefault="00950609" w:rsidP="00EC4DDC">
      <w:pPr>
        <w:pStyle w:val="ListParagraph"/>
        <w:rPr>
          <w:color w:val="018A27" w:themeColor="accent2"/>
          <w:lang w:val="fr-CA"/>
        </w:rPr>
      </w:pPr>
      <w:proofErr w:type="gramStart"/>
      <w:r w:rsidRPr="00E04B87">
        <w:rPr>
          <w:color w:val="018A27" w:themeColor="accent2"/>
          <w:lang w:val="fr-CA"/>
        </w:rPr>
        <w:t>approbation</w:t>
      </w:r>
      <w:proofErr w:type="gramEnd"/>
      <w:r w:rsidRPr="00E04B87">
        <w:rPr>
          <w:color w:val="018A27" w:themeColor="accent2"/>
          <w:lang w:val="fr-CA"/>
        </w:rPr>
        <w:t xml:space="preserve"> du dirigeant pertinent</w:t>
      </w:r>
    </w:p>
    <w:p w14:paraId="559E1CDE" w14:textId="3282339A" w:rsidR="001C00A3" w:rsidRPr="00E04B87" w:rsidRDefault="00950609" w:rsidP="00EC4DDC">
      <w:pPr>
        <w:pStyle w:val="ListParagraph"/>
        <w:rPr>
          <w:color w:val="018A27" w:themeColor="accent2"/>
          <w:lang w:val="fr-CA"/>
        </w:rPr>
      </w:pPr>
      <w:proofErr w:type="gramStart"/>
      <w:r w:rsidRPr="00E04B87">
        <w:rPr>
          <w:color w:val="018A27" w:themeColor="accent2"/>
          <w:lang w:val="fr-CA"/>
        </w:rPr>
        <w:t>communication</w:t>
      </w:r>
      <w:proofErr w:type="gramEnd"/>
      <w:r w:rsidRPr="00E04B87">
        <w:rPr>
          <w:color w:val="018A27" w:themeColor="accent2"/>
          <w:lang w:val="fr-CA"/>
        </w:rPr>
        <w:t xml:space="preserve"> des changements au personnel de la Première Nation, </w:t>
      </w:r>
      <w:r w:rsidR="00363B1B" w:rsidRPr="00E04B87">
        <w:rPr>
          <w:color w:val="018A27" w:themeColor="accent2"/>
          <w:lang w:val="fr-CA"/>
        </w:rPr>
        <w:t>s’il y a lieu</w:t>
      </w:r>
    </w:p>
    <w:p w14:paraId="2A865632" w14:textId="559169C6" w:rsidR="001C00A3" w:rsidRPr="00E04B87" w:rsidRDefault="008404DB" w:rsidP="00EC4DDC">
      <w:pPr>
        <w:pStyle w:val="Heading2"/>
        <w:rPr>
          <w:lang w:val="fr-CA"/>
        </w:rPr>
      </w:pPr>
      <w:bookmarkStart w:id="55" w:name="_Toc17376443"/>
      <w:r w:rsidRPr="00E04B87">
        <w:rPr>
          <w:lang w:val="fr-CA"/>
        </w:rPr>
        <w:t>Surveillance</w:t>
      </w:r>
      <w:bookmarkEnd w:id="55"/>
    </w:p>
    <w:p w14:paraId="7EA59207" w14:textId="356321F4" w:rsidR="001C00A3" w:rsidRPr="00E04B87" w:rsidRDefault="00986E65" w:rsidP="001C00A3">
      <w:pPr>
        <w:rPr>
          <w:lang w:val="fr-CA"/>
        </w:rPr>
      </w:pPr>
      <w:r w:rsidRPr="00E04B87">
        <w:rPr>
          <w:lang w:val="fr-CA"/>
        </w:rPr>
        <w:t xml:space="preserve">Seuls les programmes approuvés et autorisés </w:t>
      </w:r>
      <w:r w:rsidR="00363B1B" w:rsidRPr="00E04B87">
        <w:rPr>
          <w:lang w:val="fr-CA"/>
        </w:rPr>
        <w:t>peuvent être</w:t>
      </w:r>
      <w:r w:rsidRPr="00E04B87">
        <w:rPr>
          <w:lang w:val="fr-CA"/>
        </w:rPr>
        <w:t xml:space="preserve"> installés sur les systèmes informatiques de la Première Nation</w:t>
      </w:r>
      <w:r w:rsidR="001C00A3" w:rsidRPr="00E04B87">
        <w:rPr>
          <w:lang w:val="fr-CA"/>
        </w:rPr>
        <w:t xml:space="preserve">. </w:t>
      </w:r>
      <w:r w:rsidRPr="00E04B87">
        <w:rPr>
          <w:lang w:val="fr-CA"/>
        </w:rPr>
        <w:t>Le</w:t>
      </w:r>
      <w:r w:rsidR="001C00A3" w:rsidRPr="00E04B87">
        <w:rPr>
          <w:lang w:val="fr-CA"/>
        </w:rPr>
        <w:t xml:space="preserve"> </w:t>
      </w:r>
      <w:r w:rsidRPr="00E04B87">
        <w:rPr>
          <w:color w:val="005FA5" w:themeColor="accent1"/>
          <w:lang w:val="fr-CA"/>
        </w:rPr>
        <w:t>directeur général</w:t>
      </w:r>
      <w:r w:rsidR="001C00A3" w:rsidRPr="00E04B87">
        <w:rPr>
          <w:lang w:val="fr-CA"/>
        </w:rPr>
        <w:t xml:space="preserve"> </w:t>
      </w:r>
      <w:r w:rsidRPr="00E04B87">
        <w:rPr>
          <w:lang w:val="fr-CA"/>
        </w:rPr>
        <w:t>doit réaliser un examen périodique des ordinateurs et du système afin de surveiller la conformité à cette exigence</w:t>
      </w:r>
      <w:r w:rsidR="001C00A3" w:rsidRPr="00E04B87">
        <w:rPr>
          <w:lang w:val="fr-CA"/>
        </w:rPr>
        <w:t>.</w:t>
      </w:r>
    </w:p>
    <w:p w14:paraId="30E01CE4" w14:textId="1066C51F" w:rsidR="001C00A3" w:rsidRPr="00E04B87" w:rsidRDefault="002A70CF" w:rsidP="001C00A3">
      <w:pPr>
        <w:rPr>
          <w:color w:val="018A27" w:themeColor="accent2"/>
          <w:lang w:val="fr-CA"/>
        </w:rPr>
      </w:pPr>
      <w:r w:rsidRPr="00E04B87">
        <w:rPr>
          <w:color w:val="018A27" w:themeColor="accent2"/>
          <w:lang w:val="fr-CA"/>
        </w:rPr>
        <w:t xml:space="preserve">Un journal indiquant les membres du personnel, leur identifiant et </w:t>
      </w:r>
      <w:r w:rsidR="00924EA8" w:rsidRPr="00E04B87">
        <w:rPr>
          <w:color w:val="018A27" w:themeColor="accent2"/>
          <w:lang w:val="fr-CA"/>
        </w:rPr>
        <w:t>leur niveau</w:t>
      </w:r>
      <w:r w:rsidRPr="00E04B87">
        <w:rPr>
          <w:color w:val="018A27" w:themeColor="accent2"/>
          <w:lang w:val="fr-CA"/>
        </w:rPr>
        <w:t xml:space="preserve"> d’accès aux systèmes informatiques de la Première Nation doit être </w:t>
      </w:r>
      <w:r w:rsidR="00363B1B" w:rsidRPr="00E04B87">
        <w:rPr>
          <w:color w:val="018A27" w:themeColor="accent2"/>
          <w:lang w:val="fr-CA"/>
        </w:rPr>
        <w:t>maintenu</w:t>
      </w:r>
      <w:r w:rsidR="001C00A3" w:rsidRPr="00E04B87">
        <w:rPr>
          <w:color w:val="018A27" w:themeColor="accent2"/>
          <w:lang w:val="fr-CA"/>
        </w:rPr>
        <w:t xml:space="preserve">. </w:t>
      </w:r>
      <w:r w:rsidRPr="00E04B87">
        <w:rPr>
          <w:color w:val="018A27" w:themeColor="accent2"/>
          <w:lang w:val="fr-CA"/>
        </w:rPr>
        <w:t xml:space="preserve">De façon périodique, le </w:t>
      </w:r>
      <w:r w:rsidRPr="00E04B87">
        <w:rPr>
          <w:color w:val="005FA5" w:themeColor="accent1"/>
          <w:lang w:val="fr-CA"/>
        </w:rPr>
        <w:t>directeur général</w:t>
      </w:r>
      <w:r w:rsidR="001C00A3" w:rsidRPr="00E04B87">
        <w:rPr>
          <w:color w:val="018A27" w:themeColor="accent2"/>
          <w:lang w:val="fr-CA"/>
        </w:rPr>
        <w:t xml:space="preserve"> </w:t>
      </w:r>
      <w:r w:rsidRPr="00E04B87">
        <w:rPr>
          <w:color w:val="018A27" w:themeColor="accent2"/>
          <w:lang w:val="fr-CA"/>
        </w:rPr>
        <w:t xml:space="preserve">examine </w:t>
      </w:r>
      <w:r w:rsidR="004752F6" w:rsidRPr="00E04B87">
        <w:rPr>
          <w:color w:val="018A27" w:themeColor="accent2"/>
          <w:lang w:val="fr-CA"/>
        </w:rPr>
        <w:t>ce</w:t>
      </w:r>
      <w:r w:rsidRPr="00E04B87">
        <w:rPr>
          <w:color w:val="018A27" w:themeColor="accent2"/>
          <w:lang w:val="fr-CA"/>
        </w:rPr>
        <w:t xml:space="preserve"> journal pour s’assurer que les utilisateurs </w:t>
      </w:r>
      <w:r w:rsidR="004752F6" w:rsidRPr="00E04B87">
        <w:rPr>
          <w:color w:val="018A27" w:themeColor="accent2"/>
          <w:lang w:val="fr-CA"/>
        </w:rPr>
        <w:t>possèdent les</w:t>
      </w:r>
      <w:r w:rsidRPr="00E04B87">
        <w:rPr>
          <w:color w:val="018A27" w:themeColor="accent2"/>
          <w:lang w:val="fr-CA"/>
        </w:rPr>
        <w:t xml:space="preserve"> droits d’accès appropriés. Les droits d’accès à surveiller sont, notamment </w:t>
      </w:r>
      <w:r w:rsidR="001C00A3" w:rsidRPr="00E04B87">
        <w:rPr>
          <w:color w:val="018A27" w:themeColor="accent2"/>
          <w:lang w:val="fr-CA"/>
        </w:rPr>
        <w:t>:</w:t>
      </w:r>
    </w:p>
    <w:p w14:paraId="713C5E16" w14:textId="4472C431" w:rsidR="002A70CF" w:rsidRPr="00E04B87" w:rsidRDefault="002A70CF" w:rsidP="009358E5">
      <w:pPr>
        <w:pStyle w:val="ListParagraph"/>
        <w:rPr>
          <w:color w:val="018A27" w:themeColor="accent2"/>
          <w:lang w:val="fr-CA"/>
        </w:rPr>
      </w:pPr>
      <w:proofErr w:type="gramStart"/>
      <w:r w:rsidRPr="00E04B87">
        <w:rPr>
          <w:color w:val="018A27" w:themeColor="accent2"/>
          <w:lang w:val="fr-CA"/>
        </w:rPr>
        <w:t>gestion</w:t>
      </w:r>
      <w:proofErr w:type="gramEnd"/>
      <w:r w:rsidRPr="00E04B87">
        <w:rPr>
          <w:color w:val="018A27" w:themeColor="accent2"/>
          <w:lang w:val="fr-CA"/>
        </w:rPr>
        <w:t xml:space="preserve"> des droits d’accès (p. ex. au système comptable)</w:t>
      </w:r>
    </w:p>
    <w:p w14:paraId="20C12488" w14:textId="7133F209" w:rsidR="001C00A3" w:rsidRPr="00E04B87" w:rsidRDefault="002A70CF" w:rsidP="009358E5">
      <w:pPr>
        <w:pStyle w:val="ListParagraph"/>
        <w:rPr>
          <w:color w:val="018A27" w:themeColor="accent2"/>
          <w:lang w:val="fr-CA"/>
        </w:rPr>
      </w:pPr>
      <w:proofErr w:type="gramStart"/>
      <w:r w:rsidRPr="00E04B87">
        <w:rPr>
          <w:color w:val="018A27" w:themeColor="accent2"/>
          <w:lang w:val="fr-CA"/>
        </w:rPr>
        <w:t>accès</w:t>
      </w:r>
      <w:proofErr w:type="gramEnd"/>
      <w:r w:rsidRPr="00E04B87">
        <w:rPr>
          <w:color w:val="018A27" w:themeColor="accent2"/>
          <w:lang w:val="fr-CA"/>
        </w:rPr>
        <w:t xml:space="preserve"> par un tiers (p. ex. professionnel des technologies de l’information externe)</w:t>
      </w:r>
    </w:p>
    <w:p w14:paraId="2CA336BF" w14:textId="2DCF9013" w:rsidR="001C00A3" w:rsidRPr="00E04B87" w:rsidRDefault="002A70CF" w:rsidP="009358E5">
      <w:pPr>
        <w:pStyle w:val="ListParagraph"/>
        <w:rPr>
          <w:color w:val="018A27" w:themeColor="accent2"/>
          <w:lang w:val="fr-CA"/>
        </w:rPr>
      </w:pPr>
      <w:proofErr w:type="gramStart"/>
      <w:r w:rsidRPr="00E04B87">
        <w:rPr>
          <w:color w:val="018A27" w:themeColor="accent2"/>
          <w:lang w:val="fr-CA"/>
        </w:rPr>
        <w:t>accès</w:t>
      </w:r>
      <w:proofErr w:type="gramEnd"/>
      <w:r w:rsidRPr="00E04B87">
        <w:rPr>
          <w:color w:val="018A27" w:themeColor="accent2"/>
          <w:lang w:val="fr-CA"/>
        </w:rPr>
        <w:t xml:space="preserve"> au réseau et partage de fichiers</w:t>
      </w:r>
    </w:p>
    <w:p w14:paraId="0C77FFDA" w14:textId="4FF9B1F8" w:rsidR="001C00A3" w:rsidRPr="00E04B87" w:rsidRDefault="002A70CF" w:rsidP="009358E5">
      <w:pPr>
        <w:pStyle w:val="ListParagraph"/>
        <w:rPr>
          <w:color w:val="018A27" w:themeColor="accent2"/>
          <w:lang w:val="fr-CA"/>
        </w:rPr>
      </w:pPr>
      <w:proofErr w:type="gramStart"/>
      <w:r w:rsidRPr="00E04B87">
        <w:rPr>
          <w:color w:val="018A27" w:themeColor="accent2"/>
          <w:lang w:val="fr-CA"/>
        </w:rPr>
        <w:t>accès</w:t>
      </w:r>
      <w:proofErr w:type="gramEnd"/>
      <w:r w:rsidRPr="00E04B87">
        <w:rPr>
          <w:color w:val="018A27" w:themeColor="accent2"/>
          <w:lang w:val="fr-CA"/>
        </w:rPr>
        <w:t xml:space="preserve"> à distance et par VPN</w:t>
      </w:r>
    </w:p>
    <w:p w14:paraId="59B98D86" w14:textId="1FED567B" w:rsidR="001C00A3" w:rsidRPr="00E04B87" w:rsidRDefault="001875A8" w:rsidP="001C00A3">
      <w:pPr>
        <w:rPr>
          <w:lang w:val="fr-CA"/>
        </w:rPr>
      </w:pPr>
      <w:r w:rsidRPr="00E04B87">
        <w:rPr>
          <w:lang w:val="fr-CA"/>
        </w:rPr>
        <w:t xml:space="preserve">Le rendement du réseau informatique doit faire l’objet d’une surveillance </w:t>
      </w:r>
      <w:r w:rsidR="00363B1B" w:rsidRPr="00E04B87">
        <w:rPr>
          <w:lang w:val="fr-CA"/>
        </w:rPr>
        <w:t>périodique</w:t>
      </w:r>
      <w:r w:rsidRPr="00E04B87">
        <w:rPr>
          <w:lang w:val="fr-CA"/>
        </w:rPr>
        <w:t>.</w:t>
      </w:r>
    </w:p>
    <w:p w14:paraId="3E77408C" w14:textId="52D7EDF1" w:rsidR="001C00A3" w:rsidRPr="00E04B87" w:rsidRDefault="00924EA8" w:rsidP="001C00A3">
      <w:pPr>
        <w:rPr>
          <w:color w:val="018A27" w:themeColor="accent2"/>
          <w:lang w:val="fr-CA"/>
        </w:rPr>
      </w:pPr>
      <w:r w:rsidRPr="00E04B87">
        <w:rPr>
          <w:color w:val="018A27" w:themeColor="accent2"/>
          <w:lang w:val="fr-CA"/>
        </w:rPr>
        <w:t>Les pares-feux</w:t>
      </w:r>
      <w:r w:rsidR="001875A8" w:rsidRPr="00E04B87">
        <w:rPr>
          <w:color w:val="018A27" w:themeColor="accent2"/>
          <w:lang w:val="fr-CA"/>
        </w:rPr>
        <w:t xml:space="preserve"> doivent faire l’objet d’une surveillance </w:t>
      </w:r>
      <w:r w:rsidR="00363B1B" w:rsidRPr="00E04B87">
        <w:rPr>
          <w:color w:val="018A27" w:themeColor="accent2"/>
          <w:lang w:val="fr-CA"/>
        </w:rPr>
        <w:t>périodique</w:t>
      </w:r>
      <w:r w:rsidR="001875A8" w:rsidRPr="00E04B87">
        <w:rPr>
          <w:color w:val="018A27" w:themeColor="accent2"/>
          <w:lang w:val="fr-CA"/>
        </w:rPr>
        <w:t>.</w:t>
      </w:r>
    </w:p>
    <w:p w14:paraId="7FF3FFCA" w14:textId="71BA1827" w:rsidR="001C00A3" w:rsidRPr="00E04B87" w:rsidRDefault="006521DD" w:rsidP="009358E5">
      <w:pPr>
        <w:pStyle w:val="14ptheading"/>
        <w:rPr>
          <w:lang w:val="fr-CA"/>
        </w:rPr>
      </w:pPr>
      <w:r w:rsidRPr="00E04B87">
        <w:rPr>
          <w:lang w:val="fr-CA"/>
        </w:rPr>
        <w:t>Références</w:t>
      </w:r>
    </w:p>
    <w:p w14:paraId="4EA8ECC8" w14:textId="249EB855" w:rsidR="001C00A3" w:rsidRPr="00E04B87" w:rsidRDefault="006521DD" w:rsidP="001C00A3">
      <w:pPr>
        <w:rPr>
          <w:lang w:val="fr-CA"/>
        </w:rPr>
      </w:pPr>
      <w:r w:rsidRPr="00E04B87">
        <w:rPr>
          <w:i/>
          <w:lang w:val="fr-CA"/>
        </w:rPr>
        <w:t>Normes relatives au système de gestion financière</w:t>
      </w:r>
      <w:r w:rsidRPr="00E04B87">
        <w:rPr>
          <w:lang w:val="fr-CA"/>
        </w:rPr>
        <w:t xml:space="preserve"> du CGF</w:t>
      </w:r>
    </w:p>
    <w:p w14:paraId="41908CFF" w14:textId="77B8247D" w:rsidR="001C00A3" w:rsidRPr="00E04B87" w:rsidRDefault="006521DD" w:rsidP="009358E5">
      <w:pPr>
        <w:pStyle w:val="ListParagraph"/>
        <w:rPr>
          <w:lang w:val="fr-CA"/>
        </w:rPr>
      </w:pPr>
      <w:r w:rsidRPr="00E04B87">
        <w:rPr>
          <w:lang w:val="fr-CA"/>
        </w:rPr>
        <w:t>Norme</w:t>
      </w:r>
      <w:r w:rsidR="001C00A3" w:rsidRPr="00E04B87">
        <w:rPr>
          <w:lang w:val="fr-CA"/>
        </w:rPr>
        <w:t xml:space="preserve"> 20.0 – </w:t>
      </w:r>
      <w:r w:rsidR="006A6896" w:rsidRPr="00E04B87">
        <w:rPr>
          <w:lang w:val="fr-CA"/>
        </w:rPr>
        <w:t>Gestion des risques</w:t>
      </w:r>
    </w:p>
    <w:p w14:paraId="617DF265" w14:textId="12F5A416" w:rsidR="001C00A3" w:rsidRPr="00E04B87" w:rsidRDefault="006521DD" w:rsidP="001C00A3">
      <w:pPr>
        <w:rPr>
          <w:lang w:val="fr-CA"/>
        </w:rPr>
      </w:pPr>
      <w:r w:rsidRPr="00E04B87">
        <w:rPr>
          <w:i/>
          <w:lang w:val="fr-CA"/>
        </w:rPr>
        <w:t>Normes relatives à la Loi sur l’administration financière</w:t>
      </w:r>
      <w:r w:rsidRPr="00E04B87">
        <w:rPr>
          <w:lang w:val="fr-CA"/>
        </w:rPr>
        <w:t xml:space="preserve"> du CGF</w:t>
      </w:r>
    </w:p>
    <w:p w14:paraId="37C8EBC7" w14:textId="1714ED61" w:rsidR="001A0819" w:rsidRPr="00E04B87" w:rsidRDefault="006521DD" w:rsidP="001A0819">
      <w:pPr>
        <w:pStyle w:val="ListParagraph"/>
        <w:rPr>
          <w:lang w:val="fr-CA"/>
        </w:rPr>
      </w:pPr>
      <w:r w:rsidRPr="00E04B87">
        <w:rPr>
          <w:lang w:val="fr-CA"/>
        </w:rPr>
        <w:t>Norme</w:t>
      </w:r>
      <w:r w:rsidR="001C00A3" w:rsidRPr="00E04B87">
        <w:rPr>
          <w:lang w:val="fr-CA"/>
        </w:rPr>
        <w:t xml:space="preserve"> 19.0 – </w:t>
      </w:r>
      <w:r w:rsidR="006A6896" w:rsidRPr="00E04B87">
        <w:rPr>
          <w:lang w:val="fr-CA"/>
        </w:rPr>
        <w:t>Gestion des risques</w:t>
      </w:r>
    </w:p>
    <w:p w14:paraId="3209F807" w14:textId="269C30ED" w:rsidR="001A0819" w:rsidRPr="00E04B87" w:rsidRDefault="00582EB2" w:rsidP="00582EB2">
      <w:pPr>
        <w:pStyle w:val="Heading1"/>
        <w:rPr>
          <w:lang w:val="fr-CA"/>
        </w:rPr>
      </w:pPr>
      <w:r w:rsidRPr="00E04B87">
        <w:rPr>
          <w:lang w:val="fr-CA"/>
        </w:rPr>
        <w:br w:type="page"/>
      </w:r>
      <w:bookmarkStart w:id="56" w:name="_Toc17376444"/>
      <w:r w:rsidR="00283331" w:rsidRPr="00E04B87">
        <w:rPr>
          <w:lang w:val="fr-CA"/>
        </w:rPr>
        <w:t>GESTION DES DOCUMENTS</w:t>
      </w:r>
      <w:bookmarkEnd w:id="56"/>
    </w:p>
    <w:p w14:paraId="437CEA00" w14:textId="60C4A2D9" w:rsidR="001A0819" w:rsidRPr="00E04B87" w:rsidRDefault="006521DD" w:rsidP="00582EB2">
      <w:pPr>
        <w:pStyle w:val="14ptCAPS"/>
        <w:rPr>
          <w:lang w:val="fr-CA"/>
        </w:rPr>
      </w:pPr>
      <w:r w:rsidRPr="00E04B87">
        <w:rPr>
          <w:lang w:val="fr-CA"/>
        </w:rPr>
        <w:t>POLITIQUE</w:t>
      </w:r>
      <w:r w:rsidR="001A0819" w:rsidRPr="00E04B87">
        <w:rPr>
          <w:lang w:val="fr-CA"/>
        </w:rPr>
        <w:t xml:space="preserve"> </w:t>
      </w:r>
    </w:p>
    <w:p w14:paraId="2A29EA74" w14:textId="08401512" w:rsidR="001A0819" w:rsidRPr="00E04B87" w:rsidRDefault="006521DD" w:rsidP="00582EB2">
      <w:pPr>
        <w:pStyle w:val="14ptheading"/>
        <w:rPr>
          <w:lang w:val="fr-CA"/>
        </w:rPr>
      </w:pPr>
      <w:r w:rsidRPr="00E04B87">
        <w:rPr>
          <w:lang w:val="fr-CA"/>
        </w:rPr>
        <w:t>Énoncé de politique</w:t>
      </w:r>
    </w:p>
    <w:p w14:paraId="25141F90" w14:textId="47D6595E" w:rsidR="001A0819" w:rsidRPr="00E04B87" w:rsidRDefault="006521DD" w:rsidP="001A0819">
      <w:pPr>
        <w:rPr>
          <w:lang w:val="fr-CA"/>
        </w:rPr>
      </w:pPr>
      <w:r w:rsidRPr="00E04B87">
        <w:rPr>
          <w:lang w:val="fr-CA"/>
        </w:rPr>
        <w:t xml:space="preserve">Le conseil de Première Nation a pour politique d’établir un processus concernant </w:t>
      </w:r>
      <w:r w:rsidR="009F0836" w:rsidRPr="00E04B87">
        <w:rPr>
          <w:lang w:val="fr-CA"/>
        </w:rPr>
        <w:t xml:space="preserve">la création, la </w:t>
      </w:r>
      <w:r w:rsidR="000847FC" w:rsidRPr="00E04B87">
        <w:rPr>
          <w:lang w:val="fr-CA"/>
        </w:rPr>
        <w:t>collecte</w:t>
      </w:r>
      <w:r w:rsidR="009F0836" w:rsidRPr="00E04B87">
        <w:rPr>
          <w:lang w:val="fr-CA"/>
        </w:rPr>
        <w:t>, l’</w:t>
      </w:r>
      <w:r w:rsidR="00924EA8" w:rsidRPr="00E04B87">
        <w:rPr>
          <w:lang w:val="fr-CA"/>
        </w:rPr>
        <w:t>organisation</w:t>
      </w:r>
      <w:r w:rsidR="009F0836" w:rsidRPr="00E04B87">
        <w:rPr>
          <w:lang w:val="fr-CA"/>
        </w:rPr>
        <w:t xml:space="preserve">, la conservation et la protection de documents </w:t>
      </w:r>
      <w:proofErr w:type="gramStart"/>
      <w:r w:rsidR="009F0836" w:rsidRPr="00E04B87">
        <w:rPr>
          <w:lang w:val="fr-CA"/>
        </w:rPr>
        <w:t>de manière à ce</w:t>
      </w:r>
      <w:proofErr w:type="gramEnd"/>
      <w:r w:rsidR="009F0836" w:rsidRPr="00E04B87">
        <w:rPr>
          <w:lang w:val="fr-CA"/>
        </w:rPr>
        <w:t xml:space="preserve"> qu’ils soient disponibles, compréhensibles et utilisables</w:t>
      </w:r>
      <w:r w:rsidR="007904CF" w:rsidRPr="00E04B87">
        <w:rPr>
          <w:lang w:val="fr-CA"/>
        </w:rPr>
        <w:t xml:space="preserve"> à long terme</w:t>
      </w:r>
      <w:r w:rsidR="00932462" w:rsidRPr="00E04B87">
        <w:rPr>
          <w:lang w:val="fr-CA"/>
        </w:rPr>
        <w:t>.</w:t>
      </w:r>
    </w:p>
    <w:p w14:paraId="100B8C5D" w14:textId="77BC7AEE" w:rsidR="001A0819" w:rsidRPr="00E04B87" w:rsidRDefault="006521DD" w:rsidP="00582EB2">
      <w:pPr>
        <w:pStyle w:val="14ptheading"/>
        <w:rPr>
          <w:lang w:val="fr-CA"/>
        </w:rPr>
      </w:pPr>
      <w:r w:rsidRPr="00E04B87">
        <w:rPr>
          <w:lang w:val="fr-CA"/>
        </w:rPr>
        <w:t>Objectif</w:t>
      </w:r>
    </w:p>
    <w:p w14:paraId="26149657" w14:textId="442DD837" w:rsidR="001A0819" w:rsidRPr="00E04B87" w:rsidRDefault="00B24AC3" w:rsidP="001A0819">
      <w:pPr>
        <w:rPr>
          <w:lang w:val="fr-CA"/>
        </w:rPr>
      </w:pPr>
      <w:r w:rsidRPr="00E04B87">
        <w:rPr>
          <w:lang w:val="fr-CA"/>
        </w:rPr>
        <w:t xml:space="preserve">L’objectif de la présente politique est </w:t>
      </w:r>
      <w:r w:rsidR="000847FC" w:rsidRPr="00E04B87">
        <w:rPr>
          <w:lang w:val="fr-CA"/>
        </w:rPr>
        <w:t>d’établir</w:t>
      </w:r>
      <w:r w:rsidRPr="00E04B87">
        <w:rPr>
          <w:lang w:val="fr-CA"/>
        </w:rPr>
        <w:t xml:space="preserve"> des directives </w:t>
      </w:r>
      <w:r w:rsidR="000847FC" w:rsidRPr="00E04B87">
        <w:rPr>
          <w:lang w:val="fr-CA"/>
        </w:rPr>
        <w:t>visant des pratiques efficaces de</w:t>
      </w:r>
      <w:r w:rsidRPr="00E04B87">
        <w:rPr>
          <w:lang w:val="fr-CA"/>
        </w:rPr>
        <w:t xml:space="preserve"> conservation des documents </w:t>
      </w:r>
      <w:r w:rsidR="000847FC" w:rsidRPr="00E04B87">
        <w:rPr>
          <w:lang w:val="fr-CA"/>
        </w:rPr>
        <w:t>en ce qui a trait à la création</w:t>
      </w:r>
      <w:r w:rsidR="004324CA" w:rsidRPr="00E04B87">
        <w:rPr>
          <w:lang w:val="fr-CA"/>
        </w:rPr>
        <w:t>,</w:t>
      </w:r>
      <w:r w:rsidR="000847FC" w:rsidRPr="00E04B87">
        <w:rPr>
          <w:lang w:val="fr-CA"/>
        </w:rPr>
        <w:t xml:space="preserve"> à la gestion</w:t>
      </w:r>
      <w:r w:rsidR="004324CA" w:rsidRPr="00E04B87">
        <w:rPr>
          <w:lang w:val="fr-CA"/>
        </w:rPr>
        <w:t xml:space="preserve"> et à la préservation de l’intégrité</w:t>
      </w:r>
      <w:r w:rsidR="000847FC" w:rsidRPr="00E04B87">
        <w:rPr>
          <w:lang w:val="fr-CA"/>
        </w:rPr>
        <w:t xml:space="preserve"> des documents</w:t>
      </w:r>
      <w:r w:rsidRPr="00E04B87">
        <w:rPr>
          <w:lang w:val="fr-CA"/>
        </w:rPr>
        <w:t xml:space="preserve"> utilisés </w:t>
      </w:r>
      <w:r w:rsidR="000847FC" w:rsidRPr="00E04B87">
        <w:rPr>
          <w:lang w:val="fr-CA"/>
        </w:rPr>
        <w:t xml:space="preserve">par la Première Nation </w:t>
      </w:r>
      <w:r w:rsidR="0063258A" w:rsidRPr="00E04B87">
        <w:rPr>
          <w:lang w:val="fr-CA"/>
        </w:rPr>
        <w:t xml:space="preserve">en soutien à </w:t>
      </w:r>
      <w:r w:rsidRPr="00E04B87">
        <w:rPr>
          <w:lang w:val="fr-CA"/>
        </w:rPr>
        <w:t xml:space="preserve">la prise de décisions, </w:t>
      </w:r>
      <w:r w:rsidR="0063258A" w:rsidRPr="00E04B87">
        <w:rPr>
          <w:lang w:val="fr-CA"/>
        </w:rPr>
        <w:t xml:space="preserve">à </w:t>
      </w:r>
      <w:r w:rsidRPr="00E04B87">
        <w:rPr>
          <w:lang w:val="fr-CA"/>
        </w:rPr>
        <w:t>la communication d’information</w:t>
      </w:r>
      <w:r w:rsidR="0063258A" w:rsidRPr="00E04B87">
        <w:rPr>
          <w:lang w:val="fr-CA"/>
        </w:rPr>
        <w:t xml:space="preserve"> et </w:t>
      </w:r>
      <w:r w:rsidR="003562F8" w:rsidRPr="00E04B87">
        <w:rPr>
          <w:lang w:val="fr-CA"/>
        </w:rPr>
        <w:t>aux</w:t>
      </w:r>
      <w:r w:rsidR="0063258A" w:rsidRPr="00E04B87">
        <w:rPr>
          <w:lang w:val="fr-CA"/>
        </w:rPr>
        <w:t xml:space="preserve"> exigences d</w:t>
      </w:r>
      <w:r w:rsidRPr="00E04B87">
        <w:rPr>
          <w:lang w:val="fr-CA"/>
        </w:rPr>
        <w:t>e rendement et de reddition de compte</w:t>
      </w:r>
      <w:r w:rsidR="004324CA" w:rsidRPr="00E04B87">
        <w:rPr>
          <w:lang w:val="fr-CA"/>
        </w:rPr>
        <w:t>s</w:t>
      </w:r>
      <w:r w:rsidRPr="00E04B87">
        <w:rPr>
          <w:lang w:val="fr-CA"/>
        </w:rPr>
        <w:t>.</w:t>
      </w:r>
    </w:p>
    <w:p w14:paraId="7ED8572D" w14:textId="72E4B8FF" w:rsidR="001A0819" w:rsidRPr="00E04B87" w:rsidRDefault="006521DD" w:rsidP="00582EB2">
      <w:pPr>
        <w:pStyle w:val="14ptheading"/>
        <w:rPr>
          <w:lang w:val="fr-CA"/>
        </w:rPr>
      </w:pPr>
      <w:r w:rsidRPr="00E04B87">
        <w:rPr>
          <w:lang w:val="fr-CA"/>
        </w:rPr>
        <w:t>Portée et application</w:t>
      </w:r>
    </w:p>
    <w:p w14:paraId="4C9555CE" w14:textId="4C260548" w:rsidR="001A0819" w:rsidRPr="00E04B87" w:rsidRDefault="0029080E" w:rsidP="001A0819">
      <w:pPr>
        <w:rPr>
          <w:lang w:val="fr-CA"/>
        </w:rPr>
      </w:pPr>
      <w:r w:rsidRPr="00E04B87">
        <w:rPr>
          <w:lang w:val="fr-CA"/>
        </w:rPr>
        <w:t xml:space="preserve">La présente politique s’applique aux membres du conseil de Première Nation, </w:t>
      </w:r>
      <w:r w:rsidR="008722C4">
        <w:rPr>
          <w:lang w:val="fr-CA"/>
        </w:rPr>
        <w:t>aux</w:t>
      </w:r>
      <w:r w:rsidRPr="00E04B87">
        <w:rPr>
          <w:lang w:val="fr-CA"/>
        </w:rPr>
        <w:t xml:space="preserve"> membres du Comité des finances et d’audit, aux dirigeants et aux employés de la Première Nation ainsi qu’à tout sous-traitant ou bénévole exerçant des activités </w:t>
      </w:r>
      <w:r w:rsidR="008C5F54" w:rsidRPr="00E04B87">
        <w:rPr>
          <w:lang w:val="fr-CA"/>
        </w:rPr>
        <w:t>pour le compte</w:t>
      </w:r>
      <w:r w:rsidRPr="00E04B87">
        <w:rPr>
          <w:lang w:val="fr-CA"/>
        </w:rPr>
        <w:t xml:space="preserve"> du conseil de Première Nation. Les directives contenues dans la présente politique s’appliquent à tous les documents créés ou acquis par la Première Nation, sans égard à leur format (c.-à-d. tant en format papier qu’en format électronique). </w:t>
      </w:r>
    </w:p>
    <w:p w14:paraId="18098E70" w14:textId="6369DD10" w:rsidR="001A0819" w:rsidRPr="00E04B87" w:rsidRDefault="006521DD" w:rsidP="00582EB2">
      <w:pPr>
        <w:pStyle w:val="14ptheading"/>
        <w:rPr>
          <w:lang w:val="fr-CA"/>
        </w:rPr>
      </w:pPr>
      <w:r w:rsidRPr="00E04B87">
        <w:rPr>
          <w:lang w:val="fr-CA"/>
        </w:rPr>
        <w:t>Responsabilités</w:t>
      </w:r>
    </w:p>
    <w:p w14:paraId="41AA26EB" w14:textId="1E464DBE" w:rsidR="0082489F" w:rsidRPr="00E04B87" w:rsidRDefault="006521DD" w:rsidP="0082489F">
      <w:pPr>
        <w:pStyle w:val="Heading3"/>
        <w:rPr>
          <w:lang w:val="fr-CA"/>
        </w:rPr>
      </w:pPr>
      <w:r w:rsidRPr="00E04B87">
        <w:rPr>
          <w:lang w:val="fr-CA"/>
        </w:rPr>
        <w:t>Le conseil de Première Nation a les responsabilités suivantes :</w:t>
      </w:r>
    </w:p>
    <w:p w14:paraId="37A3E31B" w14:textId="228CE429" w:rsidR="0082489F" w:rsidRPr="00E04B87" w:rsidRDefault="000B2D16" w:rsidP="0082489F">
      <w:pPr>
        <w:pStyle w:val="ListParagraph"/>
        <w:rPr>
          <w:lang w:val="fr-CA"/>
        </w:rPr>
      </w:pPr>
      <w:proofErr w:type="gramStart"/>
      <w:r w:rsidRPr="00E04B87">
        <w:rPr>
          <w:lang w:val="fr-CA"/>
        </w:rPr>
        <w:t>approuver</w:t>
      </w:r>
      <w:proofErr w:type="gramEnd"/>
      <w:r w:rsidRPr="00E04B87">
        <w:rPr>
          <w:lang w:val="fr-CA"/>
        </w:rPr>
        <w:t xml:space="preserve"> la politique relative à la gestion des documents</w:t>
      </w:r>
    </w:p>
    <w:p w14:paraId="254C6591" w14:textId="4E7CBFF4" w:rsidR="0082489F" w:rsidRPr="00E04B87" w:rsidRDefault="006521DD" w:rsidP="0082489F">
      <w:pPr>
        <w:pStyle w:val="Heading3"/>
        <w:rPr>
          <w:lang w:val="fr-CA"/>
        </w:rPr>
      </w:pPr>
      <w:r w:rsidRPr="00E04B87">
        <w:rPr>
          <w:lang w:val="fr-CA"/>
        </w:rPr>
        <w:t>Le directeur général a les responsabilités suivantes :</w:t>
      </w:r>
    </w:p>
    <w:p w14:paraId="7E0209AA" w14:textId="4C1F0891" w:rsidR="000B2D16" w:rsidRPr="00E04B87" w:rsidRDefault="000B2D16" w:rsidP="0082489F">
      <w:pPr>
        <w:pStyle w:val="ListParagraph"/>
        <w:rPr>
          <w:color w:val="005FA5" w:themeColor="accent1"/>
          <w:lang w:val="fr-CA"/>
        </w:rPr>
      </w:pPr>
      <w:proofErr w:type="gramStart"/>
      <w:r w:rsidRPr="00E04B87">
        <w:rPr>
          <w:color w:val="005FA5" w:themeColor="accent1"/>
          <w:lang w:val="fr-CA"/>
        </w:rPr>
        <w:t>établir</w:t>
      </w:r>
      <w:proofErr w:type="gramEnd"/>
      <w:r w:rsidRPr="00E04B87">
        <w:rPr>
          <w:color w:val="005FA5" w:themeColor="accent1"/>
          <w:lang w:val="fr-CA"/>
        </w:rPr>
        <w:t xml:space="preserve"> et mettre en œuvre des procédures </w:t>
      </w:r>
      <w:r w:rsidR="00921686" w:rsidRPr="00E04B87">
        <w:rPr>
          <w:color w:val="005FA5" w:themeColor="accent1"/>
          <w:lang w:val="fr-CA"/>
        </w:rPr>
        <w:t xml:space="preserve">documentées </w:t>
      </w:r>
      <w:r w:rsidRPr="00E04B87">
        <w:rPr>
          <w:color w:val="005FA5" w:themeColor="accent1"/>
          <w:lang w:val="fr-CA"/>
        </w:rPr>
        <w:t xml:space="preserve">de gestion des documents </w:t>
      </w:r>
    </w:p>
    <w:p w14:paraId="7EE12E95" w14:textId="3F88B322" w:rsidR="0082489F" w:rsidRPr="00E04B87" w:rsidRDefault="000B2D16" w:rsidP="0082489F">
      <w:pPr>
        <w:pStyle w:val="ListParagraph"/>
        <w:rPr>
          <w:color w:val="005FA5" w:themeColor="accent1"/>
          <w:lang w:val="fr-CA"/>
        </w:rPr>
      </w:pPr>
      <w:proofErr w:type="gramStart"/>
      <w:r w:rsidRPr="00E04B87">
        <w:rPr>
          <w:color w:val="005FA5" w:themeColor="accent1"/>
          <w:lang w:val="fr-CA"/>
        </w:rPr>
        <w:t>mettre</w:t>
      </w:r>
      <w:proofErr w:type="gramEnd"/>
      <w:r w:rsidRPr="00E04B87">
        <w:rPr>
          <w:color w:val="005FA5" w:themeColor="accent1"/>
          <w:lang w:val="fr-CA"/>
        </w:rPr>
        <w:t xml:space="preserve"> en œuvre </w:t>
      </w:r>
      <w:r w:rsidR="00921686" w:rsidRPr="00E04B87">
        <w:rPr>
          <w:color w:val="005FA5" w:themeColor="accent1"/>
          <w:lang w:val="fr-CA"/>
        </w:rPr>
        <w:t>d</w:t>
      </w:r>
      <w:r w:rsidRPr="00E04B87">
        <w:rPr>
          <w:color w:val="005FA5" w:themeColor="accent1"/>
          <w:lang w:val="fr-CA"/>
        </w:rPr>
        <w:t>es pratiques de gestion des documents appropriées</w:t>
      </w:r>
    </w:p>
    <w:p w14:paraId="1FC51233" w14:textId="7A4CEAE0" w:rsidR="0082489F" w:rsidRPr="00E04B87" w:rsidRDefault="000B2D16" w:rsidP="0082489F">
      <w:pPr>
        <w:pStyle w:val="ListParagraph"/>
        <w:rPr>
          <w:color w:val="005FA5" w:themeColor="accent1"/>
          <w:lang w:val="fr-CA"/>
        </w:rPr>
      </w:pPr>
      <w:proofErr w:type="gramStart"/>
      <w:r w:rsidRPr="00E04B87">
        <w:rPr>
          <w:color w:val="005FA5" w:themeColor="accent1"/>
          <w:lang w:val="fr-CA"/>
        </w:rPr>
        <w:t>veiller</w:t>
      </w:r>
      <w:proofErr w:type="gramEnd"/>
      <w:r w:rsidRPr="00E04B87">
        <w:rPr>
          <w:color w:val="005FA5" w:themeColor="accent1"/>
          <w:lang w:val="fr-CA"/>
        </w:rPr>
        <w:t xml:space="preserve"> à ce que les documents de la Première Nation soient protégés de façon adéquate</w:t>
      </w:r>
    </w:p>
    <w:p w14:paraId="665802F8" w14:textId="593834A2" w:rsidR="0082489F" w:rsidRPr="00E04B87" w:rsidRDefault="000B2D16" w:rsidP="0082489F">
      <w:pPr>
        <w:pStyle w:val="ListParagraph"/>
        <w:rPr>
          <w:color w:val="005FA5" w:themeColor="accent1"/>
          <w:lang w:val="fr-CA"/>
        </w:rPr>
      </w:pPr>
      <w:proofErr w:type="gramStart"/>
      <w:r w:rsidRPr="00E04B87">
        <w:rPr>
          <w:color w:val="005FA5" w:themeColor="accent1"/>
          <w:lang w:val="fr-CA"/>
        </w:rPr>
        <w:t>assurer</w:t>
      </w:r>
      <w:proofErr w:type="gramEnd"/>
      <w:r w:rsidRPr="00E04B87">
        <w:rPr>
          <w:color w:val="005FA5" w:themeColor="accent1"/>
          <w:lang w:val="fr-CA"/>
        </w:rPr>
        <w:t xml:space="preserve"> le respect du calendrier de conservation et de </w:t>
      </w:r>
      <w:r w:rsidR="00924EA8" w:rsidRPr="00E04B87">
        <w:rPr>
          <w:color w:val="005FA5" w:themeColor="accent1"/>
          <w:lang w:val="fr-CA"/>
        </w:rPr>
        <w:t>suppression</w:t>
      </w:r>
      <w:r w:rsidRPr="00E04B87">
        <w:rPr>
          <w:color w:val="005FA5" w:themeColor="accent1"/>
          <w:lang w:val="fr-CA"/>
        </w:rPr>
        <w:t xml:space="preserve"> des documents établi et superviser le processus de suppression de documents</w:t>
      </w:r>
    </w:p>
    <w:p w14:paraId="5976D921" w14:textId="19B327DD" w:rsidR="0082489F" w:rsidRPr="00E04B87" w:rsidRDefault="008C5F54" w:rsidP="0082489F">
      <w:pPr>
        <w:pStyle w:val="ListParagraph"/>
        <w:rPr>
          <w:color w:val="005FA5" w:themeColor="accent1"/>
          <w:lang w:val="fr-CA"/>
        </w:rPr>
      </w:pPr>
      <w:proofErr w:type="gramStart"/>
      <w:r w:rsidRPr="00E04B87">
        <w:rPr>
          <w:color w:val="005FA5" w:themeColor="accent1"/>
          <w:lang w:val="fr-CA"/>
        </w:rPr>
        <w:t>veiller</w:t>
      </w:r>
      <w:proofErr w:type="gramEnd"/>
      <w:r w:rsidRPr="00E04B87">
        <w:rPr>
          <w:color w:val="005FA5" w:themeColor="accent1"/>
          <w:lang w:val="fr-CA"/>
        </w:rPr>
        <w:t xml:space="preserve"> à ce que les employés</w:t>
      </w:r>
      <w:r w:rsidR="00921686" w:rsidRPr="00E04B87">
        <w:rPr>
          <w:color w:val="005FA5" w:themeColor="accent1"/>
          <w:lang w:val="fr-CA"/>
        </w:rPr>
        <w:t xml:space="preserve"> ainsi que tout</w:t>
      </w:r>
      <w:r w:rsidRPr="00E04B87">
        <w:rPr>
          <w:color w:val="005FA5" w:themeColor="accent1"/>
          <w:lang w:val="fr-CA"/>
        </w:rPr>
        <w:t xml:space="preserve"> sous-traitant</w:t>
      </w:r>
      <w:r w:rsidR="00921686" w:rsidRPr="00E04B87">
        <w:rPr>
          <w:color w:val="005FA5" w:themeColor="accent1"/>
          <w:lang w:val="fr-CA"/>
        </w:rPr>
        <w:t xml:space="preserve"> ou</w:t>
      </w:r>
      <w:r w:rsidRPr="00E04B87">
        <w:rPr>
          <w:color w:val="005FA5" w:themeColor="accent1"/>
          <w:lang w:val="fr-CA"/>
        </w:rPr>
        <w:t xml:space="preserve"> bénévole exerçant des activités pour le compte du conseil de Première Nation </w:t>
      </w:r>
      <w:r w:rsidR="00E33008" w:rsidRPr="00E04B87">
        <w:rPr>
          <w:color w:val="005FA5" w:themeColor="accent1"/>
          <w:lang w:val="fr-CA"/>
        </w:rPr>
        <w:t>soient informés de</w:t>
      </w:r>
      <w:r w:rsidRPr="00E04B87">
        <w:rPr>
          <w:color w:val="005FA5" w:themeColor="accent1"/>
          <w:lang w:val="fr-CA"/>
        </w:rPr>
        <w:t xml:space="preserve"> leurs responsabilités en matière de conservation des documents</w:t>
      </w:r>
    </w:p>
    <w:p w14:paraId="7C7246D5" w14:textId="110C2249" w:rsidR="0082489F" w:rsidRPr="00E04B87" w:rsidRDefault="00E33008" w:rsidP="0082489F">
      <w:pPr>
        <w:pStyle w:val="Heading3"/>
        <w:rPr>
          <w:lang w:val="fr-CA"/>
        </w:rPr>
      </w:pPr>
      <w:r w:rsidRPr="00E04B87">
        <w:rPr>
          <w:lang w:val="fr-CA"/>
        </w:rPr>
        <w:t>Les employés, les sous-traitants et les bénévoles ont les responsabilités suivantes :</w:t>
      </w:r>
    </w:p>
    <w:p w14:paraId="471462DF" w14:textId="5DB2D505" w:rsidR="0082489F" w:rsidRPr="00E04B87" w:rsidRDefault="00356117" w:rsidP="0082489F">
      <w:pPr>
        <w:pStyle w:val="ListParagraph"/>
        <w:rPr>
          <w:lang w:val="fr-CA"/>
        </w:rPr>
      </w:pPr>
      <w:proofErr w:type="gramStart"/>
      <w:r w:rsidRPr="00E04B87">
        <w:rPr>
          <w:lang w:val="fr-CA"/>
        </w:rPr>
        <w:t>respecter</w:t>
      </w:r>
      <w:proofErr w:type="gramEnd"/>
      <w:r w:rsidRPr="00E04B87">
        <w:rPr>
          <w:lang w:val="fr-CA"/>
        </w:rPr>
        <w:t xml:space="preserve"> la politique établie</w:t>
      </w:r>
    </w:p>
    <w:p w14:paraId="7421EAD6" w14:textId="12530CC4" w:rsidR="00924B15" w:rsidRPr="00E04B87" w:rsidRDefault="00356117" w:rsidP="0082489F">
      <w:pPr>
        <w:pStyle w:val="ListParagraph"/>
        <w:rPr>
          <w:lang w:val="fr-CA"/>
        </w:rPr>
      </w:pPr>
      <w:proofErr w:type="gramStart"/>
      <w:r w:rsidRPr="00E04B87">
        <w:rPr>
          <w:lang w:val="fr-CA"/>
        </w:rPr>
        <w:t>signaler</w:t>
      </w:r>
      <w:proofErr w:type="gramEnd"/>
      <w:r w:rsidRPr="00E04B87">
        <w:rPr>
          <w:lang w:val="fr-CA"/>
        </w:rPr>
        <w:t xml:space="preserve"> immédiatement à leur superviseur </w:t>
      </w:r>
      <w:r w:rsidR="00817E05" w:rsidRPr="00E04B87">
        <w:rPr>
          <w:lang w:val="fr-CA"/>
        </w:rPr>
        <w:t xml:space="preserve">immédiat </w:t>
      </w:r>
      <w:r w:rsidRPr="00E04B87">
        <w:rPr>
          <w:lang w:val="fr-CA"/>
        </w:rPr>
        <w:t>tout manquement potentiel à la politique de conservation des documents</w:t>
      </w:r>
    </w:p>
    <w:p w14:paraId="543B0E2D" w14:textId="191C5458" w:rsidR="001A0819" w:rsidRPr="00E04B87" w:rsidRDefault="006521DD" w:rsidP="00582EB2">
      <w:pPr>
        <w:pStyle w:val="14ptCAPS"/>
        <w:rPr>
          <w:lang w:val="fr-CA"/>
        </w:rPr>
      </w:pPr>
      <w:r w:rsidRPr="00E04B87">
        <w:rPr>
          <w:lang w:val="fr-CA"/>
        </w:rPr>
        <w:t>PROCÉDURES ADMINISTRATIVES</w:t>
      </w:r>
    </w:p>
    <w:p w14:paraId="789BA6B1" w14:textId="384A8063" w:rsidR="00350390" w:rsidRPr="00E04B87" w:rsidRDefault="006521DD" w:rsidP="00350390">
      <w:pPr>
        <w:pStyle w:val="14ptheading"/>
        <w:rPr>
          <w:lang w:val="fr-CA"/>
        </w:rPr>
      </w:pPr>
      <w:r w:rsidRPr="00E04B87">
        <w:rPr>
          <w:lang w:val="fr-CA"/>
        </w:rPr>
        <w:t>Procédures</w:t>
      </w:r>
    </w:p>
    <w:p w14:paraId="0656C60C" w14:textId="318DCEBD" w:rsidR="00350390" w:rsidRPr="00E04B87" w:rsidRDefault="00DD04B6" w:rsidP="00350390">
      <w:pPr>
        <w:pStyle w:val="Heading2"/>
        <w:rPr>
          <w:lang w:val="fr-CA"/>
        </w:rPr>
      </w:pPr>
      <w:bookmarkStart w:id="57" w:name="_Toc17376445"/>
      <w:r w:rsidRPr="00E04B87">
        <w:rPr>
          <w:lang w:val="fr-CA"/>
        </w:rPr>
        <w:t>Reddition de comptes</w:t>
      </w:r>
      <w:bookmarkEnd w:id="57"/>
    </w:p>
    <w:p w14:paraId="49F863A5" w14:textId="32E62CCD" w:rsidR="00350390" w:rsidRPr="00E04B87" w:rsidRDefault="00DD04B6" w:rsidP="00350390">
      <w:pPr>
        <w:rPr>
          <w:color w:val="018A27" w:themeColor="accent2"/>
          <w:lang w:val="fr-CA"/>
        </w:rPr>
      </w:pPr>
      <w:r w:rsidRPr="00E04B87">
        <w:rPr>
          <w:color w:val="018A27" w:themeColor="accent2"/>
          <w:lang w:val="fr-CA"/>
        </w:rPr>
        <w:t xml:space="preserve">Chaque document relève de la responsabilité d’un employé désigné qui doit s’assurer que les directives de conservation des documents contenues dans la présente politique sont appliquées au document en question. </w:t>
      </w:r>
      <w:r w:rsidR="000B3F7F" w:rsidRPr="00E04B87">
        <w:rPr>
          <w:color w:val="018A27" w:themeColor="accent2"/>
          <w:lang w:val="fr-CA"/>
        </w:rPr>
        <w:t>Tous les employés, sous-traitants et bénévoles qui ont la garde d’un document doivent veiller à ce qu’il soit géré conformément à la présente politique.</w:t>
      </w:r>
    </w:p>
    <w:p w14:paraId="59138E00" w14:textId="010CCCBD" w:rsidR="00350390" w:rsidRPr="00E04B87" w:rsidRDefault="000B3F7F" w:rsidP="00350390">
      <w:pPr>
        <w:rPr>
          <w:color w:val="018A27" w:themeColor="accent2"/>
          <w:lang w:val="fr-CA"/>
        </w:rPr>
      </w:pPr>
      <w:r w:rsidRPr="00E04B87">
        <w:rPr>
          <w:color w:val="018A27" w:themeColor="accent2"/>
          <w:lang w:val="fr-CA"/>
        </w:rPr>
        <w:t>Les documents permanents tels que les politiques et les procédures doivent être passés en revue et mis à jour de façon périodique par l’employé désigné à cette fin.</w:t>
      </w:r>
    </w:p>
    <w:p w14:paraId="5E3B86C4" w14:textId="69A570CC" w:rsidR="00350390" w:rsidRPr="00E04B87" w:rsidRDefault="003D17A2" w:rsidP="00350390">
      <w:pPr>
        <w:rPr>
          <w:lang w:val="fr-CA"/>
        </w:rPr>
      </w:pPr>
      <w:r w:rsidRPr="00E04B87">
        <w:rPr>
          <w:color w:val="018A27" w:themeColor="accent2"/>
          <w:lang w:val="fr-CA"/>
        </w:rPr>
        <w:t>Les documents sous la garde d’employés, de sous-traitant</w:t>
      </w:r>
      <w:r w:rsidR="008722C4">
        <w:rPr>
          <w:color w:val="018A27" w:themeColor="accent2"/>
          <w:lang w:val="fr-CA"/>
        </w:rPr>
        <w:t>s</w:t>
      </w:r>
      <w:r w:rsidRPr="00E04B87">
        <w:rPr>
          <w:color w:val="018A27" w:themeColor="accent2"/>
          <w:lang w:val="fr-CA"/>
        </w:rPr>
        <w:t xml:space="preserve"> ou de bénévoles qui quittent leurs fonctions doivent être officiellement transférés à un autre employé dans le cadre </w:t>
      </w:r>
      <w:r w:rsidR="00CB2710" w:rsidRPr="00E04B87">
        <w:rPr>
          <w:color w:val="018A27" w:themeColor="accent2"/>
          <w:lang w:val="fr-CA"/>
        </w:rPr>
        <w:t>d’un</w:t>
      </w:r>
      <w:r w:rsidRPr="00E04B87">
        <w:rPr>
          <w:color w:val="018A27" w:themeColor="accent2"/>
          <w:lang w:val="fr-CA"/>
        </w:rPr>
        <w:t xml:space="preserve"> processus de transfert de connaissances. </w:t>
      </w:r>
      <w:r w:rsidR="00CB2710" w:rsidRPr="00E04B87">
        <w:rPr>
          <w:color w:val="018A27" w:themeColor="accent2"/>
          <w:lang w:val="fr-CA"/>
        </w:rPr>
        <w:t xml:space="preserve">Ce processus doit comprendre l’information sur les types de documents </w:t>
      </w:r>
      <w:r w:rsidR="008A1555" w:rsidRPr="00E04B87">
        <w:rPr>
          <w:color w:val="018A27" w:themeColor="accent2"/>
          <w:lang w:val="fr-CA"/>
        </w:rPr>
        <w:t>à transférer</w:t>
      </w:r>
      <w:r w:rsidR="00CB2710" w:rsidRPr="00E04B87">
        <w:rPr>
          <w:color w:val="018A27" w:themeColor="accent2"/>
          <w:lang w:val="fr-CA"/>
        </w:rPr>
        <w:t>, sur la façon dont ces documents sont organisés, sur l’endroit où ils sont conservés et sur les mesures de protection exigées.</w:t>
      </w:r>
    </w:p>
    <w:p w14:paraId="2CADF535" w14:textId="315E40D7" w:rsidR="00350390" w:rsidRPr="00E04B87" w:rsidRDefault="00C46512" w:rsidP="00350390">
      <w:pPr>
        <w:pStyle w:val="Heading2"/>
        <w:rPr>
          <w:lang w:val="fr-CA"/>
        </w:rPr>
      </w:pPr>
      <w:bookmarkStart w:id="58" w:name="_Toc17376446"/>
      <w:r w:rsidRPr="00E04B87">
        <w:rPr>
          <w:lang w:val="fr-CA"/>
        </w:rPr>
        <w:t>Création et collecte</w:t>
      </w:r>
      <w:bookmarkEnd w:id="58"/>
    </w:p>
    <w:p w14:paraId="28A4AA3A" w14:textId="07F3BB48" w:rsidR="00350390" w:rsidRPr="00E04B87" w:rsidRDefault="00C46512" w:rsidP="00350390">
      <w:pPr>
        <w:rPr>
          <w:color w:val="018A27" w:themeColor="accent2"/>
          <w:lang w:val="fr-CA"/>
        </w:rPr>
      </w:pPr>
      <w:r w:rsidRPr="00E04B87">
        <w:rPr>
          <w:color w:val="018A27" w:themeColor="accent2"/>
          <w:lang w:val="fr-CA"/>
        </w:rPr>
        <w:t xml:space="preserve">Les principaux processus liés aux activités et aux prises de décisions de la Première Nation doivent être déterminés, notamment au moyen des documents nécessaires pour soutenir ces processus, pour assurer la reddition de comptes, pour préserver une piste d’audit et pour protéger la Première Nation contre toute </w:t>
      </w:r>
      <w:r w:rsidR="00055406" w:rsidRPr="00E04B87">
        <w:rPr>
          <w:color w:val="018A27" w:themeColor="accent2"/>
          <w:lang w:val="fr-CA"/>
        </w:rPr>
        <w:t>responsabilité</w:t>
      </w:r>
      <w:r w:rsidRPr="00E04B87">
        <w:rPr>
          <w:color w:val="018A27" w:themeColor="accent2"/>
          <w:lang w:val="fr-CA"/>
        </w:rPr>
        <w:t>.</w:t>
      </w:r>
    </w:p>
    <w:p w14:paraId="502340D8" w14:textId="084EC8C4" w:rsidR="00350390" w:rsidRPr="00E04B87" w:rsidRDefault="00B44097" w:rsidP="00350390">
      <w:pPr>
        <w:rPr>
          <w:color w:val="018A27" w:themeColor="accent2"/>
          <w:lang w:val="fr-CA"/>
        </w:rPr>
      </w:pPr>
      <w:r w:rsidRPr="00E04B87">
        <w:rPr>
          <w:color w:val="018A27" w:themeColor="accent2"/>
          <w:lang w:val="fr-CA"/>
        </w:rPr>
        <w:t>Au moment de la création ou de la collecte d’une information, il y a lieu de déterminer si elle relève des activités commerciales de la Première Nation</w:t>
      </w:r>
      <w:r w:rsidR="00D8225C" w:rsidRPr="00E04B87">
        <w:rPr>
          <w:color w:val="018A27" w:themeColor="accent2"/>
          <w:lang w:val="fr-CA"/>
        </w:rPr>
        <w:t xml:space="preserve"> ou</w:t>
      </w:r>
      <w:r w:rsidRPr="00E04B87">
        <w:rPr>
          <w:color w:val="018A27" w:themeColor="accent2"/>
          <w:lang w:val="fr-CA"/>
        </w:rPr>
        <w:t xml:space="preserve"> d’obligations juridiques </w:t>
      </w:r>
      <w:r w:rsidR="008A1555" w:rsidRPr="00E04B87">
        <w:rPr>
          <w:color w:val="018A27" w:themeColor="accent2"/>
          <w:lang w:val="fr-CA"/>
        </w:rPr>
        <w:t>et</w:t>
      </w:r>
      <w:r w:rsidRPr="00E04B87">
        <w:rPr>
          <w:color w:val="018A27" w:themeColor="accent2"/>
          <w:lang w:val="fr-CA"/>
        </w:rPr>
        <w:t xml:space="preserve"> si elle permet la prise de décisions. S’il est déterminé </w:t>
      </w:r>
      <w:r w:rsidR="008A1555" w:rsidRPr="00E04B87">
        <w:rPr>
          <w:color w:val="018A27" w:themeColor="accent2"/>
          <w:lang w:val="fr-CA"/>
        </w:rPr>
        <w:t>qu’il s’agit d’un</w:t>
      </w:r>
      <w:r w:rsidRPr="00E04B87">
        <w:rPr>
          <w:color w:val="018A27" w:themeColor="accent2"/>
          <w:lang w:val="fr-CA"/>
        </w:rPr>
        <w:t xml:space="preserve"> document, </w:t>
      </w:r>
      <w:r w:rsidR="00D8225C" w:rsidRPr="00E04B87">
        <w:rPr>
          <w:color w:val="018A27" w:themeColor="accent2"/>
          <w:lang w:val="fr-CA"/>
        </w:rPr>
        <w:t>ce document doit être géré</w:t>
      </w:r>
      <w:r w:rsidRPr="00E04B87">
        <w:rPr>
          <w:color w:val="018A27" w:themeColor="accent2"/>
          <w:lang w:val="fr-CA"/>
        </w:rPr>
        <w:t xml:space="preserve"> conformément aux procédures contenues dans la présente politique.</w:t>
      </w:r>
    </w:p>
    <w:p w14:paraId="737B8D23" w14:textId="61DAFD80" w:rsidR="00350390" w:rsidRPr="00E04B87" w:rsidRDefault="003438DA" w:rsidP="00350390">
      <w:pPr>
        <w:rPr>
          <w:color w:val="018A27" w:themeColor="accent2"/>
          <w:lang w:val="fr-CA"/>
        </w:rPr>
      </w:pPr>
      <w:r w:rsidRPr="00E04B87">
        <w:rPr>
          <w:color w:val="018A27" w:themeColor="accent2"/>
          <w:lang w:val="fr-CA"/>
        </w:rPr>
        <w:t xml:space="preserve">Le document doit contenir l’information nécessaire pour atteindre les objectifs ayant justifié sa création et doit se limiter à </w:t>
      </w:r>
      <w:r w:rsidR="00957551" w:rsidRPr="00E04B87">
        <w:rPr>
          <w:color w:val="018A27" w:themeColor="accent2"/>
          <w:lang w:val="fr-CA"/>
        </w:rPr>
        <w:t xml:space="preserve">cette </w:t>
      </w:r>
      <w:r w:rsidRPr="00E04B87">
        <w:rPr>
          <w:color w:val="018A27" w:themeColor="accent2"/>
          <w:lang w:val="fr-CA"/>
        </w:rPr>
        <w:t>information.</w:t>
      </w:r>
    </w:p>
    <w:p w14:paraId="65E25C6B" w14:textId="43F1E428" w:rsidR="00350390" w:rsidRPr="00E04B87" w:rsidRDefault="00957551" w:rsidP="00350390">
      <w:pPr>
        <w:rPr>
          <w:color w:val="018A27" w:themeColor="accent2"/>
          <w:lang w:val="fr-CA"/>
        </w:rPr>
      </w:pPr>
      <w:r w:rsidRPr="00E04B87">
        <w:rPr>
          <w:color w:val="018A27" w:themeColor="accent2"/>
          <w:lang w:val="fr-CA"/>
        </w:rPr>
        <w:t xml:space="preserve">Dans la mesure du possible, le document doit porter sur une seule fonction ou activité, de manière à faciliter son classement, son organisation, </w:t>
      </w:r>
      <w:r w:rsidR="001D0EE7" w:rsidRPr="00E04B87">
        <w:rPr>
          <w:color w:val="018A27" w:themeColor="accent2"/>
          <w:lang w:val="fr-CA"/>
        </w:rPr>
        <w:t>sa</w:t>
      </w:r>
      <w:r w:rsidRPr="00E04B87">
        <w:rPr>
          <w:color w:val="018A27" w:themeColor="accent2"/>
          <w:lang w:val="fr-CA"/>
        </w:rPr>
        <w:t xml:space="preserve"> conservation et sa récupération.</w:t>
      </w:r>
    </w:p>
    <w:p w14:paraId="38005382" w14:textId="5178B249" w:rsidR="00350390" w:rsidRPr="00E04B87" w:rsidRDefault="001D0EE7" w:rsidP="00350390">
      <w:pPr>
        <w:rPr>
          <w:color w:val="018A27" w:themeColor="accent2"/>
          <w:lang w:val="fr-CA"/>
        </w:rPr>
      </w:pPr>
      <w:r w:rsidRPr="00E04B87">
        <w:rPr>
          <w:color w:val="000000" w:themeColor="text1"/>
          <w:lang w:val="fr-CA"/>
        </w:rPr>
        <w:t xml:space="preserve">Les documents de la </w:t>
      </w:r>
      <w:r w:rsidRPr="00E04B87">
        <w:rPr>
          <w:lang w:val="fr-CA"/>
        </w:rPr>
        <w:t>Première Nation doivent être lisibles</w:t>
      </w:r>
      <w:r w:rsidR="00350390" w:rsidRPr="00E04B87">
        <w:rPr>
          <w:color w:val="018A27" w:themeColor="accent2"/>
          <w:lang w:val="fr-CA"/>
        </w:rPr>
        <w:t xml:space="preserve">, </w:t>
      </w:r>
      <w:r w:rsidRPr="00E04B87">
        <w:rPr>
          <w:color w:val="018A27" w:themeColor="accent2"/>
          <w:lang w:val="fr-CA"/>
        </w:rPr>
        <w:t>être rédigés en langage simple et être adapté</w:t>
      </w:r>
      <w:r w:rsidR="008A1555" w:rsidRPr="00E04B87">
        <w:rPr>
          <w:color w:val="018A27" w:themeColor="accent2"/>
          <w:lang w:val="fr-CA"/>
        </w:rPr>
        <w:t>s</w:t>
      </w:r>
      <w:r w:rsidRPr="00E04B87">
        <w:rPr>
          <w:color w:val="018A27" w:themeColor="accent2"/>
          <w:lang w:val="fr-CA"/>
        </w:rPr>
        <w:t xml:space="preserve"> à leur auditoire cible</w:t>
      </w:r>
      <w:r w:rsidR="00350390" w:rsidRPr="00E04B87">
        <w:rPr>
          <w:color w:val="018A27" w:themeColor="accent2"/>
          <w:lang w:val="fr-CA"/>
        </w:rPr>
        <w:t>.</w:t>
      </w:r>
    </w:p>
    <w:p w14:paraId="7F906582" w14:textId="73341583" w:rsidR="00350390" w:rsidRPr="00E04B87" w:rsidRDefault="00A97B45" w:rsidP="00350390">
      <w:pPr>
        <w:rPr>
          <w:lang w:val="fr-CA"/>
        </w:rPr>
      </w:pPr>
      <w:r w:rsidRPr="00E04B87">
        <w:rPr>
          <w:color w:val="018A27" w:themeColor="accent2"/>
          <w:lang w:val="fr-CA"/>
        </w:rPr>
        <w:t>Un seul exemplaire de chaque document doit être créé ou recueilli. Avant de créer ou de recueillir un document, il faut d’abord vérifier s’il existe déjà. Si plusieurs exemplaire</w:t>
      </w:r>
      <w:r w:rsidR="009F35EC" w:rsidRPr="00E04B87">
        <w:rPr>
          <w:color w:val="018A27" w:themeColor="accent2"/>
          <w:lang w:val="fr-CA"/>
        </w:rPr>
        <w:t>s</w:t>
      </w:r>
      <w:r w:rsidRPr="00E04B87">
        <w:rPr>
          <w:color w:val="018A27" w:themeColor="accent2"/>
          <w:lang w:val="fr-CA"/>
        </w:rPr>
        <w:t xml:space="preserve"> d’un même document ont été produits, il y a lieu de supprimer les copies de façon sécuritaire conformément aux </w:t>
      </w:r>
      <w:r w:rsidR="008A1555" w:rsidRPr="00E04B87">
        <w:rPr>
          <w:color w:val="018A27" w:themeColor="accent2"/>
          <w:lang w:val="fr-CA"/>
        </w:rPr>
        <w:t>exigences</w:t>
      </w:r>
      <w:r w:rsidRPr="00E04B87">
        <w:rPr>
          <w:color w:val="018A27" w:themeColor="accent2"/>
          <w:lang w:val="fr-CA"/>
        </w:rPr>
        <w:t xml:space="preserve"> de la présente politique.</w:t>
      </w:r>
    </w:p>
    <w:p w14:paraId="619330C6" w14:textId="28CAF06E" w:rsidR="00350390" w:rsidRPr="00E04B87" w:rsidRDefault="009F35EC" w:rsidP="00C070E1">
      <w:pPr>
        <w:pStyle w:val="Heading2"/>
        <w:rPr>
          <w:lang w:val="fr-CA"/>
        </w:rPr>
      </w:pPr>
      <w:bookmarkStart w:id="59" w:name="_Toc17376447"/>
      <w:r w:rsidRPr="00E04B87">
        <w:rPr>
          <w:lang w:val="fr-CA"/>
        </w:rPr>
        <w:t>Organisation et classement</w:t>
      </w:r>
      <w:bookmarkEnd w:id="59"/>
    </w:p>
    <w:p w14:paraId="66C30234" w14:textId="2646BB6A" w:rsidR="00350390" w:rsidRPr="00E04B87" w:rsidRDefault="009F35EC" w:rsidP="00350390">
      <w:pPr>
        <w:rPr>
          <w:color w:val="018A27" w:themeColor="accent2"/>
          <w:lang w:val="fr-CA"/>
        </w:rPr>
      </w:pPr>
      <w:r w:rsidRPr="00E04B87">
        <w:rPr>
          <w:color w:val="018A27" w:themeColor="accent2"/>
          <w:lang w:val="fr-CA"/>
        </w:rPr>
        <w:t xml:space="preserve">Une structure de classement doit être mise en œuvre </w:t>
      </w:r>
      <w:r w:rsidR="003B5C7C" w:rsidRPr="00E04B87">
        <w:rPr>
          <w:color w:val="018A27" w:themeColor="accent2"/>
          <w:lang w:val="fr-CA"/>
        </w:rPr>
        <w:t>d’après</w:t>
      </w:r>
      <w:r w:rsidRPr="00E04B87">
        <w:rPr>
          <w:color w:val="018A27" w:themeColor="accent2"/>
          <w:lang w:val="fr-CA"/>
        </w:rPr>
        <w:t xml:space="preserve"> les fonctions et les activités de la Première Nation, les documents devant être classés selon l’activité ou la fonction à laquelle il</w:t>
      </w:r>
      <w:r w:rsidR="00892687" w:rsidRPr="00E04B87">
        <w:rPr>
          <w:color w:val="018A27" w:themeColor="accent2"/>
          <w:lang w:val="fr-CA"/>
        </w:rPr>
        <w:t>s</w:t>
      </w:r>
      <w:r w:rsidRPr="00E04B87">
        <w:rPr>
          <w:color w:val="018A27" w:themeColor="accent2"/>
          <w:lang w:val="fr-CA"/>
        </w:rPr>
        <w:t xml:space="preserve"> se rapporte</w:t>
      </w:r>
      <w:r w:rsidR="00892687" w:rsidRPr="00E04B87">
        <w:rPr>
          <w:color w:val="018A27" w:themeColor="accent2"/>
          <w:lang w:val="fr-CA"/>
        </w:rPr>
        <w:t>nt</w:t>
      </w:r>
      <w:r w:rsidRPr="00E04B87">
        <w:rPr>
          <w:color w:val="018A27" w:themeColor="accent2"/>
          <w:lang w:val="fr-CA"/>
        </w:rPr>
        <w:t>.</w:t>
      </w:r>
    </w:p>
    <w:p w14:paraId="623882C5" w14:textId="46BBB41B" w:rsidR="00350390" w:rsidRPr="00E04B87" w:rsidRDefault="003B5C7C" w:rsidP="00350390">
      <w:pPr>
        <w:rPr>
          <w:color w:val="018A27" w:themeColor="accent2"/>
          <w:lang w:val="fr-CA"/>
        </w:rPr>
      </w:pPr>
      <w:r w:rsidRPr="00E04B87">
        <w:rPr>
          <w:color w:val="018A27" w:themeColor="accent2"/>
          <w:lang w:val="fr-CA"/>
        </w:rPr>
        <w:t>Les documents doivent être nommés suivant une convention d’</w:t>
      </w:r>
      <w:r w:rsidR="00924EA8" w:rsidRPr="00E04B87">
        <w:rPr>
          <w:color w:val="018A27" w:themeColor="accent2"/>
          <w:lang w:val="fr-CA"/>
        </w:rPr>
        <w:t>appellation</w:t>
      </w:r>
      <w:r w:rsidR="008722C4">
        <w:rPr>
          <w:color w:val="018A27" w:themeColor="accent2"/>
          <w:lang w:val="fr-CA"/>
        </w:rPr>
        <w:t xml:space="preserve"> uniforme, et</w:t>
      </w:r>
      <w:r w:rsidRPr="00E04B87">
        <w:rPr>
          <w:color w:val="018A27" w:themeColor="accent2"/>
          <w:lang w:val="fr-CA"/>
        </w:rPr>
        <w:t xml:space="preserve"> le titre du fichier </w:t>
      </w:r>
      <w:r w:rsidR="008722C4">
        <w:rPr>
          <w:color w:val="018A27" w:themeColor="accent2"/>
          <w:lang w:val="fr-CA"/>
        </w:rPr>
        <w:t>doit</w:t>
      </w:r>
      <w:r w:rsidRPr="00E04B87">
        <w:rPr>
          <w:color w:val="018A27" w:themeColor="accent2"/>
          <w:lang w:val="fr-CA"/>
        </w:rPr>
        <w:t xml:space="preserve"> comprendre à tout le moins la date, le titre du document et la version</w:t>
      </w:r>
      <w:r w:rsidR="00350390" w:rsidRPr="00E04B87">
        <w:rPr>
          <w:color w:val="018A27" w:themeColor="accent2"/>
          <w:lang w:val="fr-CA"/>
        </w:rPr>
        <w:t xml:space="preserve"> (v. XX).</w:t>
      </w:r>
    </w:p>
    <w:p w14:paraId="2CFD9F67" w14:textId="5F2F010B" w:rsidR="00350390" w:rsidRPr="00E04B87" w:rsidRDefault="00EA4C78" w:rsidP="00350390">
      <w:pPr>
        <w:rPr>
          <w:color w:val="018A27" w:themeColor="accent2"/>
          <w:lang w:val="fr-CA"/>
        </w:rPr>
      </w:pPr>
      <w:r w:rsidRPr="00E04B87">
        <w:rPr>
          <w:color w:val="018A27" w:themeColor="accent2"/>
          <w:lang w:val="fr-CA"/>
        </w:rPr>
        <w:t>Le titre du document doit être court.</w:t>
      </w:r>
    </w:p>
    <w:p w14:paraId="18D8F21C" w14:textId="507FD5EA" w:rsidR="00350390" w:rsidRPr="00E04B87" w:rsidRDefault="00EA4C78" w:rsidP="00350390">
      <w:pPr>
        <w:rPr>
          <w:color w:val="018A27" w:themeColor="accent2"/>
          <w:lang w:val="fr-CA"/>
        </w:rPr>
      </w:pPr>
      <w:r w:rsidRPr="00E04B87">
        <w:rPr>
          <w:color w:val="018A27" w:themeColor="accent2"/>
          <w:lang w:val="fr-CA"/>
        </w:rPr>
        <w:t xml:space="preserve">Chaque document doit être conservé dans un endroit précis désigné officiellement. Le nombre d’endroits où les documents sont conservés doit être limité et </w:t>
      </w:r>
      <w:r w:rsidR="00892687" w:rsidRPr="00E04B87">
        <w:rPr>
          <w:color w:val="018A27" w:themeColor="accent2"/>
          <w:lang w:val="fr-CA"/>
        </w:rPr>
        <w:t>pertinent en fonction du</w:t>
      </w:r>
      <w:r w:rsidRPr="00E04B87">
        <w:rPr>
          <w:color w:val="018A27" w:themeColor="accent2"/>
          <w:lang w:val="fr-CA"/>
        </w:rPr>
        <w:t xml:space="preserve"> format et </w:t>
      </w:r>
      <w:r w:rsidR="00892687" w:rsidRPr="00E04B87">
        <w:rPr>
          <w:color w:val="018A27" w:themeColor="accent2"/>
          <w:lang w:val="fr-CA"/>
        </w:rPr>
        <w:t>du</w:t>
      </w:r>
      <w:r w:rsidRPr="00E04B87">
        <w:rPr>
          <w:color w:val="018A27" w:themeColor="accent2"/>
          <w:lang w:val="fr-CA"/>
        </w:rPr>
        <w:t xml:space="preserve"> type de document. </w:t>
      </w:r>
    </w:p>
    <w:p w14:paraId="55CCDEC8" w14:textId="1B045D68" w:rsidR="00350390" w:rsidRPr="00E04B87" w:rsidRDefault="00694DB8" w:rsidP="00350390">
      <w:pPr>
        <w:rPr>
          <w:lang w:val="fr-CA"/>
        </w:rPr>
      </w:pPr>
      <w:r w:rsidRPr="00E04B87">
        <w:rPr>
          <w:color w:val="018A27" w:themeColor="accent2"/>
          <w:lang w:val="fr-CA"/>
        </w:rPr>
        <w:t>Les documents doivent être accessibles, partagés et réutilisés le plus possible, sous réserve de restrictions technologiques, juridiques et de sécurité.</w:t>
      </w:r>
    </w:p>
    <w:p w14:paraId="2F8B8ADB" w14:textId="21CABCE7" w:rsidR="00350390" w:rsidRPr="00E04B87" w:rsidRDefault="003A7CBD" w:rsidP="006B3041">
      <w:pPr>
        <w:pStyle w:val="Heading2"/>
        <w:rPr>
          <w:lang w:val="fr-CA"/>
        </w:rPr>
      </w:pPr>
      <w:bookmarkStart w:id="60" w:name="_Toc17376448"/>
      <w:r w:rsidRPr="00E04B87">
        <w:rPr>
          <w:lang w:val="fr-CA"/>
        </w:rPr>
        <w:t>Conservation, protection et préservation</w:t>
      </w:r>
      <w:bookmarkEnd w:id="60"/>
    </w:p>
    <w:p w14:paraId="175AB220" w14:textId="5E91C6BF" w:rsidR="00350390" w:rsidRPr="00E04B87" w:rsidRDefault="00EE353F" w:rsidP="00350390">
      <w:pPr>
        <w:rPr>
          <w:color w:val="018A27" w:themeColor="accent2"/>
          <w:lang w:val="fr-CA"/>
        </w:rPr>
      </w:pPr>
      <w:r w:rsidRPr="00E04B87">
        <w:rPr>
          <w:color w:val="018A27" w:themeColor="accent2"/>
          <w:lang w:val="fr-CA"/>
        </w:rPr>
        <w:t xml:space="preserve">Les documents doivent être protégés et conservés à un endroit approprié d’une manière permettant de faire en sorte qu’ils soient disponibles, compréhensibles et utilisables à long terme. </w:t>
      </w:r>
    </w:p>
    <w:p w14:paraId="0D7042CE" w14:textId="624B0534" w:rsidR="00350390" w:rsidRPr="00E04B87" w:rsidRDefault="007904CF" w:rsidP="00350390">
      <w:pPr>
        <w:rPr>
          <w:color w:val="018A27" w:themeColor="accent2"/>
          <w:lang w:val="fr-CA"/>
        </w:rPr>
      </w:pPr>
      <w:r w:rsidRPr="00E04B87">
        <w:rPr>
          <w:color w:val="018A27" w:themeColor="accent2"/>
          <w:lang w:val="fr-CA"/>
        </w:rPr>
        <w:t xml:space="preserve">Des copies de sauvegarde doivent être créées régulièrement pour tous les documents électroniques et doivent être conservées dans un endroit physique ou numérique à l’extérieur du lieu de conservation des originaux. </w:t>
      </w:r>
    </w:p>
    <w:p w14:paraId="26BF8FC3" w14:textId="54021E78" w:rsidR="00350390" w:rsidRPr="00E04B87" w:rsidRDefault="00F35032" w:rsidP="00350390">
      <w:pPr>
        <w:rPr>
          <w:color w:val="018A27" w:themeColor="accent2"/>
          <w:lang w:val="fr-CA"/>
        </w:rPr>
      </w:pPr>
      <w:r w:rsidRPr="00E04B87">
        <w:rPr>
          <w:color w:val="018A27" w:themeColor="accent2"/>
          <w:lang w:val="fr-CA"/>
        </w:rPr>
        <w:t xml:space="preserve">Pour chaque document existant uniquement </w:t>
      </w:r>
      <w:r w:rsidR="00892687" w:rsidRPr="00E04B87">
        <w:rPr>
          <w:color w:val="018A27" w:themeColor="accent2"/>
          <w:lang w:val="fr-CA"/>
        </w:rPr>
        <w:t>sur</w:t>
      </w:r>
      <w:r w:rsidRPr="00E04B87">
        <w:rPr>
          <w:color w:val="018A27" w:themeColor="accent2"/>
          <w:lang w:val="fr-CA"/>
        </w:rPr>
        <w:t xml:space="preserve"> papier, il y a lieu de déterminer s’il doit être numérisé ou si d’autres mesures de sécurité physique doivent être prises (p. ex. le </w:t>
      </w:r>
      <w:r w:rsidR="008C200A" w:rsidRPr="00E04B87">
        <w:rPr>
          <w:color w:val="018A27" w:themeColor="accent2"/>
          <w:lang w:val="fr-CA"/>
        </w:rPr>
        <w:t>conserver</w:t>
      </w:r>
      <w:r w:rsidRPr="00E04B87">
        <w:rPr>
          <w:color w:val="018A27" w:themeColor="accent2"/>
          <w:lang w:val="fr-CA"/>
        </w:rPr>
        <w:t xml:space="preserve"> dans </w:t>
      </w:r>
      <w:r w:rsidR="008C200A" w:rsidRPr="00E04B87">
        <w:rPr>
          <w:color w:val="018A27" w:themeColor="accent2"/>
          <w:lang w:val="fr-CA"/>
        </w:rPr>
        <w:t>un classeur</w:t>
      </w:r>
      <w:r w:rsidRPr="00E04B87">
        <w:rPr>
          <w:color w:val="018A27" w:themeColor="accent2"/>
          <w:lang w:val="fr-CA"/>
        </w:rPr>
        <w:t xml:space="preserve"> à l’épreuve du feu ou de l’eau) pour s’assurer qu’il ser</w:t>
      </w:r>
      <w:r w:rsidR="008C200A" w:rsidRPr="00E04B87">
        <w:rPr>
          <w:color w:val="018A27" w:themeColor="accent2"/>
          <w:lang w:val="fr-CA"/>
        </w:rPr>
        <w:t>a</w:t>
      </w:r>
      <w:r w:rsidRPr="00E04B87">
        <w:rPr>
          <w:color w:val="018A27" w:themeColor="accent2"/>
          <w:lang w:val="fr-CA"/>
        </w:rPr>
        <w:t xml:space="preserve"> disponible à long terme. </w:t>
      </w:r>
    </w:p>
    <w:p w14:paraId="1DFAE4CA" w14:textId="0491BC5E" w:rsidR="00350390" w:rsidRPr="00E04B87" w:rsidRDefault="00551E30" w:rsidP="00350390">
      <w:pPr>
        <w:rPr>
          <w:color w:val="018A27" w:themeColor="accent2"/>
          <w:lang w:val="fr-CA"/>
        </w:rPr>
      </w:pPr>
      <w:r w:rsidRPr="00E04B87">
        <w:rPr>
          <w:color w:val="018A27" w:themeColor="accent2"/>
          <w:lang w:val="fr-CA"/>
        </w:rPr>
        <w:t xml:space="preserve">Les documents contenant des renseignements personnels ou de l’information confidentielle portant sur le conseil de Première Nation ou </w:t>
      </w:r>
      <w:r w:rsidR="008722C4">
        <w:rPr>
          <w:color w:val="018A27" w:themeColor="accent2"/>
          <w:lang w:val="fr-CA"/>
        </w:rPr>
        <w:t xml:space="preserve">sur </w:t>
      </w:r>
      <w:r w:rsidRPr="00E04B87">
        <w:rPr>
          <w:color w:val="018A27" w:themeColor="accent2"/>
          <w:lang w:val="fr-CA"/>
        </w:rPr>
        <w:t xml:space="preserve">un tiers, comme l’information </w:t>
      </w:r>
      <w:r w:rsidR="00924EA8" w:rsidRPr="00E04B87">
        <w:rPr>
          <w:color w:val="018A27" w:themeColor="accent2"/>
          <w:lang w:val="fr-CA"/>
        </w:rPr>
        <w:t>financière</w:t>
      </w:r>
      <w:r w:rsidRPr="00E04B87">
        <w:rPr>
          <w:color w:val="018A27" w:themeColor="accent2"/>
          <w:lang w:val="fr-CA"/>
        </w:rPr>
        <w:t xml:space="preserve"> confidentielle d’une entreprise, doi</w:t>
      </w:r>
      <w:r w:rsidR="008722C4">
        <w:rPr>
          <w:color w:val="018A27" w:themeColor="accent2"/>
          <w:lang w:val="fr-CA"/>
        </w:rPr>
        <w:t>ven</w:t>
      </w:r>
      <w:r w:rsidRPr="00E04B87">
        <w:rPr>
          <w:color w:val="018A27" w:themeColor="accent2"/>
          <w:lang w:val="fr-CA"/>
        </w:rPr>
        <w:t>t porter la mention CONFIDENTIEL.</w:t>
      </w:r>
    </w:p>
    <w:p w14:paraId="3D27CEA8" w14:textId="30286E7C" w:rsidR="00350390" w:rsidRPr="00E04B87" w:rsidRDefault="007351C7" w:rsidP="00350390">
      <w:pPr>
        <w:rPr>
          <w:lang w:val="fr-CA"/>
        </w:rPr>
      </w:pPr>
      <w:r w:rsidRPr="00E04B87">
        <w:rPr>
          <w:color w:val="018A27" w:themeColor="accent2"/>
          <w:lang w:val="fr-CA"/>
        </w:rPr>
        <w:t>Les documents confidentiels</w:t>
      </w:r>
      <w:r w:rsidR="00987857" w:rsidRPr="00E04B87">
        <w:rPr>
          <w:color w:val="018A27" w:themeColor="accent2"/>
          <w:lang w:val="fr-CA"/>
        </w:rPr>
        <w:t xml:space="preserve"> doivent être protégés au moyen de mesures appropriées permettant de faire en sorte que seules les personnes ayant besoin d’accéder à de tels documents </w:t>
      </w:r>
      <w:r w:rsidR="008722C4">
        <w:rPr>
          <w:color w:val="018A27" w:themeColor="accent2"/>
          <w:lang w:val="fr-CA"/>
        </w:rPr>
        <w:t>y aient accès</w:t>
      </w:r>
      <w:r w:rsidR="00A05D35" w:rsidRPr="00E04B87">
        <w:rPr>
          <w:color w:val="018A27" w:themeColor="accent2"/>
          <w:lang w:val="fr-CA"/>
        </w:rPr>
        <w:t> :</w:t>
      </w:r>
    </w:p>
    <w:p w14:paraId="3B2FE27E" w14:textId="42AF81E5" w:rsidR="00350390" w:rsidRPr="00E04B87" w:rsidRDefault="00987857" w:rsidP="006B3041">
      <w:pPr>
        <w:pStyle w:val="ListParagraph"/>
        <w:rPr>
          <w:color w:val="018A27" w:themeColor="accent2"/>
          <w:lang w:val="fr-CA"/>
        </w:rPr>
      </w:pPr>
      <w:proofErr w:type="gramStart"/>
      <w:r w:rsidRPr="00E04B87">
        <w:rPr>
          <w:color w:val="018A27" w:themeColor="accent2"/>
          <w:lang w:val="fr-CA"/>
        </w:rPr>
        <w:t>les</w:t>
      </w:r>
      <w:proofErr w:type="gramEnd"/>
      <w:r w:rsidRPr="00E04B87">
        <w:rPr>
          <w:color w:val="018A27" w:themeColor="accent2"/>
          <w:lang w:val="fr-CA"/>
        </w:rPr>
        <w:t xml:space="preserve"> documents électroniques </w:t>
      </w:r>
      <w:r w:rsidR="00145AFC" w:rsidRPr="00E04B87">
        <w:rPr>
          <w:color w:val="018A27" w:themeColor="accent2"/>
          <w:lang w:val="fr-CA"/>
        </w:rPr>
        <w:t xml:space="preserve">confidentiels </w:t>
      </w:r>
      <w:r w:rsidRPr="00E04B87">
        <w:rPr>
          <w:color w:val="018A27" w:themeColor="accent2"/>
          <w:lang w:val="fr-CA"/>
        </w:rPr>
        <w:t>doivent être protégés au moyen du contrôle de l’accès à ces documents (comme une protection par mot de passe) et d’autres contrôles administratifs, comme l’accès restreint au répertoire électronique où se trouve</w:t>
      </w:r>
      <w:r w:rsidR="00D46951" w:rsidRPr="00E04B87">
        <w:rPr>
          <w:color w:val="018A27" w:themeColor="accent2"/>
          <w:lang w:val="fr-CA"/>
        </w:rPr>
        <w:t>nt</w:t>
      </w:r>
      <w:r w:rsidRPr="00E04B87">
        <w:rPr>
          <w:color w:val="018A27" w:themeColor="accent2"/>
          <w:lang w:val="fr-CA"/>
        </w:rPr>
        <w:t xml:space="preserve"> le</w:t>
      </w:r>
      <w:r w:rsidR="00D46951" w:rsidRPr="00E04B87">
        <w:rPr>
          <w:color w:val="018A27" w:themeColor="accent2"/>
          <w:lang w:val="fr-CA"/>
        </w:rPr>
        <w:t>s</w:t>
      </w:r>
      <w:r w:rsidRPr="00E04B87">
        <w:rPr>
          <w:color w:val="018A27" w:themeColor="accent2"/>
          <w:lang w:val="fr-CA"/>
        </w:rPr>
        <w:t xml:space="preserve"> document</w:t>
      </w:r>
      <w:r w:rsidR="00D46951" w:rsidRPr="00E04B87">
        <w:rPr>
          <w:color w:val="018A27" w:themeColor="accent2"/>
          <w:lang w:val="fr-CA"/>
        </w:rPr>
        <w:t>s</w:t>
      </w:r>
      <w:r w:rsidRPr="00E04B87">
        <w:rPr>
          <w:color w:val="018A27" w:themeColor="accent2"/>
          <w:lang w:val="fr-CA"/>
        </w:rPr>
        <w:t xml:space="preserve"> </w:t>
      </w:r>
    </w:p>
    <w:p w14:paraId="3710BEFC" w14:textId="6AA0D66F" w:rsidR="00350390" w:rsidRPr="00E04B87" w:rsidRDefault="00145AFC" w:rsidP="006B3041">
      <w:pPr>
        <w:pStyle w:val="ListParagraph"/>
        <w:rPr>
          <w:lang w:val="fr-CA"/>
        </w:rPr>
      </w:pPr>
      <w:proofErr w:type="gramStart"/>
      <w:r w:rsidRPr="00E04B87">
        <w:rPr>
          <w:color w:val="018A27" w:themeColor="accent2"/>
          <w:lang w:val="fr-CA"/>
        </w:rPr>
        <w:t>les</w:t>
      </w:r>
      <w:proofErr w:type="gramEnd"/>
      <w:r w:rsidRPr="00E04B87">
        <w:rPr>
          <w:color w:val="018A27" w:themeColor="accent2"/>
          <w:lang w:val="fr-CA"/>
        </w:rPr>
        <w:t xml:space="preserve"> documents </w:t>
      </w:r>
      <w:r w:rsidR="00D46951" w:rsidRPr="00E04B87">
        <w:rPr>
          <w:color w:val="018A27" w:themeColor="accent2"/>
          <w:lang w:val="fr-CA"/>
        </w:rPr>
        <w:t xml:space="preserve">confidentiels </w:t>
      </w:r>
      <w:r w:rsidRPr="00E04B87">
        <w:rPr>
          <w:color w:val="018A27" w:themeColor="accent2"/>
          <w:lang w:val="fr-CA"/>
        </w:rPr>
        <w:t xml:space="preserve">en format papier doivent être conservés dans des classeurs sécurisés en tout temps, sauf aux moments où ils sont utilisés, et </w:t>
      </w:r>
      <w:r w:rsidR="00076B61" w:rsidRPr="00E04B87">
        <w:rPr>
          <w:color w:val="018A27" w:themeColor="accent2"/>
          <w:lang w:val="fr-CA"/>
        </w:rPr>
        <w:t xml:space="preserve">s’il est nécessaire de les </w:t>
      </w:r>
      <w:r w:rsidR="005E5CA8" w:rsidRPr="00E04B87">
        <w:rPr>
          <w:color w:val="018A27" w:themeColor="accent2"/>
          <w:lang w:val="fr-CA"/>
        </w:rPr>
        <w:t>transporter</w:t>
      </w:r>
      <w:r w:rsidRPr="00E04B87">
        <w:rPr>
          <w:color w:val="018A27" w:themeColor="accent2"/>
          <w:lang w:val="fr-CA"/>
        </w:rPr>
        <w:t xml:space="preserve"> à l’extérieur, </w:t>
      </w:r>
      <w:r w:rsidR="00924EA8" w:rsidRPr="00E04B87">
        <w:rPr>
          <w:color w:val="018A27" w:themeColor="accent2"/>
          <w:lang w:val="fr-CA"/>
        </w:rPr>
        <w:t>ils doivent</w:t>
      </w:r>
      <w:r w:rsidRPr="00E04B87">
        <w:rPr>
          <w:color w:val="018A27" w:themeColor="accent2"/>
          <w:lang w:val="fr-CA"/>
        </w:rPr>
        <w:t xml:space="preserve"> être transportés de façon sécuritaire</w:t>
      </w:r>
    </w:p>
    <w:p w14:paraId="187BA0C4" w14:textId="781B685A" w:rsidR="00350390" w:rsidRPr="00E04B87" w:rsidRDefault="00AF4BED" w:rsidP="006B3041">
      <w:pPr>
        <w:pStyle w:val="Heading2"/>
        <w:rPr>
          <w:lang w:val="fr-CA"/>
        </w:rPr>
      </w:pPr>
      <w:bookmarkStart w:id="61" w:name="_Toc17376449"/>
      <w:r w:rsidRPr="00E04B87">
        <w:rPr>
          <w:lang w:val="fr-CA"/>
        </w:rPr>
        <w:t>Conservation et suppression</w:t>
      </w:r>
      <w:bookmarkEnd w:id="61"/>
    </w:p>
    <w:p w14:paraId="59D34329" w14:textId="6E38E2ED" w:rsidR="00350390" w:rsidRPr="00E04B87" w:rsidRDefault="00AF4BED" w:rsidP="00350390">
      <w:pPr>
        <w:rPr>
          <w:color w:val="018A27" w:themeColor="accent2"/>
          <w:lang w:val="fr-CA"/>
        </w:rPr>
      </w:pPr>
      <w:r w:rsidRPr="00E04B87">
        <w:rPr>
          <w:color w:val="018A27" w:themeColor="accent2"/>
          <w:lang w:val="fr-CA"/>
        </w:rPr>
        <w:t>Les documents sont conservés durant les périodes énoncées dans le calendrier de conservation et de suppression des documents en annexe</w:t>
      </w:r>
      <w:r w:rsidR="00311192" w:rsidRPr="00E04B87">
        <w:rPr>
          <w:color w:val="018A27" w:themeColor="accent2"/>
          <w:lang w:val="fr-CA"/>
        </w:rPr>
        <w:t xml:space="preserve">. Les documents doivent être supprimés </w:t>
      </w:r>
      <w:r w:rsidR="008F26C4" w:rsidRPr="00E04B87">
        <w:rPr>
          <w:color w:val="018A27" w:themeColor="accent2"/>
          <w:lang w:val="fr-CA"/>
        </w:rPr>
        <w:t xml:space="preserve">de façon à </w:t>
      </w:r>
      <w:r w:rsidR="00924EA8" w:rsidRPr="00E04B87">
        <w:rPr>
          <w:color w:val="018A27" w:themeColor="accent2"/>
          <w:lang w:val="fr-CA"/>
        </w:rPr>
        <w:t>empêcher</w:t>
      </w:r>
      <w:r w:rsidR="00311192" w:rsidRPr="00E04B87">
        <w:rPr>
          <w:color w:val="018A27" w:themeColor="accent2"/>
          <w:lang w:val="fr-CA"/>
        </w:rPr>
        <w:t xml:space="preserve"> leur reconstitution (pour les documents en format papier) ou leur récupération (pour les documents électroniques).</w:t>
      </w:r>
    </w:p>
    <w:p w14:paraId="18C4726F" w14:textId="4F6EB128" w:rsidR="00350390" w:rsidRPr="00E04B87" w:rsidRDefault="006521DD" w:rsidP="006B3041">
      <w:pPr>
        <w:pStyle w:val="14ptheading"/>
        <w:rPr>
          <w:lang w:val="fr-CA"/>
        </w:rPr>
      </w:pPr>
      <w:r w:rsidRPr="00E04B87">
        <w:rPr>
          <w:lang w:val="fr-CA"/>
        </w:rPr>
        <w:t>Références</w:t>
      </w:r>
    </w:p>
    <w:p w14:paraId="4366CD70" w14:textId="1E1B6281" w:rsidR="00350390" w:rsidRPr="00E04B87" w:rsidRDefault="006521DD" w:rsidP="00350390">
      <w:pPr>
        <w:rPr>
          <w:lang w:val="fr-CA"/>
        </w:rPr>
      </w:pPr>
      <w:r w:rsidRPr="00E04B87">
        <w:rPr>
          <w:i/>
          <w:lang w:val="fr-CA"/>
        </w:rPr>
        <w:t>Normes relatives au système de gestion financière</w:t>
      </w:r>
      <w:r w:rsidRPr="00E04B87">
        <w:rPr>
          <w:lang w:val="fr-CA"/>
        </w:rPr>
        <w:t xml:space="preserve"> du CGF</w:t>
      </w:r>
    </w:p>
    <w:p w14:paraId="59E4159B" w14:textId="67BBCE22" w:rsidR="00350390" w:rsidRPr="00E04B87" w:rsidRDefault="006521DD" w:rsidP="006B3041">
      <w:pPr>
        <w:pStyle w:val="ListParagraph"/>
        <w:rPr>
          <w:lang w:val="fr-CA"/>
        </w:rPr>
      </w:pPr>
      <w:r w:rsidRPr="00E04B87">
        <w:rPr>
          <w:lang w:val="fr-CA"/>
        </w:rPr>
        <w:t>Norme</w:t>
      </w:r>
      <w:r w:rsidR="00350390" w:rsidRPr="00E04B87">
        <w:rPr>
          <w:lang w:val="fr-CA"/>
        </w:rPr>
        <w:t xml:space="preserve"> 20.0 – </w:t>
      </w:r>
      <w:r w:rsidR="008F26C4" w:rsidRPr="00E04B87">
        <w:rPr>
          <w:lang w:val="fr-CA"/>
        </w:rPr>
        <w:t>Gestion des risques</w:t>
      </w:r>
    </w:p>
    <w:p w14:paraId="1E1DC5EF" w14:textId="6A01FDBF" w:rsidR="00350390" w:rsidRPr="00E04B87" w:rsidRDefault="006521DD" w:rsidP="006B3041">
      <w:pPr>
        <w:pStyle w:val="ListParagraph"/>
        <w:rPr>
          <w:lang w:val="fr-CA"/>
        </w:rPr>
      </w:pPr>
      <w:r w:rsidRPr="00E04B87">
        <w:rPr>
          <w:lang w:val="fr-CA"/>
        </w:rPr>
        <w:t>Norme</w:t>
      </w:r>
      <w:r w:rsidR="00350390" w:rsidRPr="00E04B87">
        <w:rPr>
          <w:lang w:val="fr-CA"/>
        </w:rPr>
        <w:t xml:space="preserve"> 24.0 – </w:t>
      </w:r>
      <w:r w:rsidR="008F26C4" w:rsidRPr="00E04B87">
        <w:rPr>
          <w:lang w:val="fr-CA"/>
        </w:rPr>
        <w:t>Dossiers et renseignements</w:t>
      </w:r>
    </w:p>
    <w:p w14:paraId="773F2781" w14:textId="1B9EB346" w:rsidR="00350390" w:rsidRPr="00E04B87" w:rsidRDefault="006521DD" w:rsidP="00350390">
      <w:pPr>
        <w:rPr>
          <w:lang w:val="fr-CA"/>
        </w:rPr>
      </w:pPr>
      <w:r w:rsidRPr="00E04B87">
        <w:rPr>
          <w:i/>
          <w:lang w:val="fr-CA"/>
        </w:rPr>
        <w:t>Normes relatives à la Loi sur l’administration financière</w:t>
      </w:r>
      <w:r w:rsidRPr="00E04B87">
        <w:rPr>
          <w:lang w:val="fr-CA"/>
        </w:rPr>
        <w:t xml:space="preserve"> du CGF</w:t>
      </w:r>
    </w:p>
    <w:p w14:paraId="4CDB7D38" w14:textId="648A3B4F" w:rsidR="00350390" w:rsidRPr="00E04B87" w:rsidRDefault="006521DD" w:rsidP="006B3041">
      <w:pPr>
        <w:pStyle w:val="ListParagraph"/>
        <w:rPr>
          <w:lang w:val="fr-CA"/>
        </w:rPr>
      </w:pPr>
      <w:r w:rsidRPr="00E04B87">
        <w:rPr>
          <w:lang w:val="fr-CA"/>
        </w:rPr>
        <w:t>Norme</w:t>
      </w:r>
      <w:r w:rsidR="00350390" w:rsidRPr="00E04B87">
        <w:rPr>
          <w:lang w:val="fr-CA"/>
        </w:rPr>
        <w:t xml:space="preserve"> 24.0 – </w:t>
      </w:r>
      <w:r w:rsidR="008F26C4" w:rsidRPr="00E04B87">
        <w:rPr>
          <w:lang w:val="fr-CA"/>
        </w:rPr>
        <w:t>Documents et information</w:t>
      </w:r>
    </w:p>
    <w:p w14:paraId="1B5FA2D7" w14:textId="7DE0A243" w:rsidR="00350390" w:rsidRPr="00E04B87" w:rsidRDefault="007C37F8" w:rsidP="006B3041">
      <w:pPr>
        <w:pStyle w:val="14ptheading"/>
        <w:rPr>
          <w:lang w:val="fr-CA"/>
        </w:rPr>
      </w:pPr>
      <w:r w:rsidRPr="00E04B87">
        <w:rPr>
          <w:lang w:val="fr-CA"/>
        </w:rPr>
        <w:t>Pièces jointes</w:t>
      </w:r>
    </w:p>
    <w:p w14:paraId="3EF6CF3F" w14:textId="5563D144" w:rsidR="006B3041" w:rsidRPr="00E04B87" w:rsidRDefault="006B3041" w:rsidP="00350390">
      <w:pPr>
        <w:rPr>
          <w:lang w:val="fr-CA"/>
        </w:rPr>
      </w:pPr>
      <w:r w:rsidRPr="00E04B87">
        <w:rPr>
          <w:lang w:val="fr-CA"/>
        </w:rPr>
        <w:t xml:space="preserve">1. </w:t>
      </w:r>
      <w:r w:rsidR="007C37F8" w:rsidRPr="00E04B87">
        <w:rPr>
          <w:lang w:val="fr-CA"/>
        </w:rPr>
        <w:t>Périodes de conservation des documents</w:t>
      </w:r>
    </w:p>
    <w:p w14:paraId="1D79861F" w14:textId="16F94C4E" w:rsidR="007A494E" w:rsidRPr="00E04B87" w:rsidRDefault="007C37F8" w:rsidP="007A494E">
      <w:pPr>
        <w:pStyle w:val="14ptCAPS"/>
        <w:rPr>
          <w:lang w:val="fr-CA"/>
        </w:rPr>
      </w:pPr>
      <w:r w:rsidRPr="00E04B87">
        <w:rPr>
          <w:lang w:val="fr-CA"/>
        </w:rPr>
        <w:br w:type="page"/>
        <w:t>PÉRIODES DE CONSERVATION DES DOCUMENTS</w:t>
      </w:r>
      <w:r w:rsidRPr="00E04B87">
        <w:rPr>
          <w:lang w:val="fr-CA"/>
        </w:rPr>
        <w:tab/>
      </w:r>
    </w:p>
    <w:tbl>
      <w:tblPr>
        <w:tblW w:w="9738" w:type="dxa"/>
        <w:tblBorders>
          <w:top w:val="single" w:sz="4" w:space="0" w:color="B2B2B2" w:themeColor="background2" w:themeShade="BF"/>
          <w:left w:val="single" w:sz="4" w:space="0" w:color="B2B2B2" w:themeColor="background2" w:themeShade="BF"/>
          <w:bottom w:val="single" w:sz="4" w:space="0" w:color="B2B2B2" w:themeColor="background2" w:themeShade="BF"/>
          <w:right w:val="single" w:sz="4" w:space="0" w:color="B2B2B2" w:themeColor="background2" w:themeShade="BF"/>
          <w:insideH w:val="single" w:sz="4" w:space="0" w:color="B2B2B2" w:themeColor="background2" w:themeShade="BF"/>
          <w:insideV w:val="single" w:sz="4" w:space="0" w:color="B2B2B2" w:themeColor="background2" w:themeShade="BF"/>
        </w:tblBorders>
        <w:tblLook w:val="00A0" w:firstRow="1" w:lastRow="0" w:firstColumn="1" w:lastColumn="0" w:noHBand="0" w:noVBand="0"/>
      </w:tblPr>
      <w:tblGrid>
        <w:gridCol w:w="7128"/>
        <w:gridCol w:w="2610"/>
      </w:tblGrid>
      <w:tr w:rsidR="007A494E" w:rsidRPr="00E04B87" w14:paraId="1D7716F2" w14:textId="77777777">
        <w:trPr>
          <w:trHeight w:val="359"/>
        </w:trPr>
        <w:tc>
          <w:tcPr>
            <w:tcW w:w="7128" w:type="dxa"/>
            <w:tcBorders>
              <w:bottom w:val="single" w:sz="4" w:space="0" w:color="B2B2B2" w:themeColor="background2" w:themeShade="BF"/>
            </w:tcBorders>
            <w:shd w:val="clear" w:color="auto" w:fill="B3B3B3"/>
          </w:tcPr>
          <w:p w14:paraId="5A1B0BC2" w14:textId="3969AC0C" w:rsidR="007A494E" w:rsidRPr="00E04B87" w:rsidRDefault="007C37F8" w:rsidP="007A494E">
            <w:pPr>
              <w:spacing w:before="60" w:after="60"/>
              <w:ind w:left="30"/>
              <w:rPr>
                <w:rFonts w:ascii="Arial" w:hAnsi="Arial" w:cs="Arial"/>
                <w:b/>
                <w:color w:val="FFFFFF" w:themeColor="background1"/>
                <w:lang w:val="fr-CA"/>
              </w:rPr>
            </w:pPr>
            <w:r w:rsidRPr="00E04B87">
              <w:rPr>
                <w:rFonts w:ascii="Arial" w:hAnsi="Arial" w:cs="Arial"/>
                <w:b/>
                <w:color w:val="FFFFFF" w:themeColor="background1"/>
                <w:lang w:val="fr-CA"/>
              </w:rPr>
              <w:t>Document ou information</w:t>
            </w:r>
          </w:p>
        </w:tc>
        <w:tc>
          <w:tcPr>
            <w:tcW w:w="2610" w:type="dxa"/>
            <w:tcBorders>
              <w:bottom w:val="single" w:sz="4" w:space="0" w:color="B2B2B2" w:themeColor="background2" w:themeShade="BF"/>
            </w:tcBorders>
            <w:shd w:val="clear" w:color="auto" w:fill="B3B3B3"/>
          </w:tcPr>
          <w:p w14:paraId="5A9EE9AA" w14:textId="2582FB0B" w:rsidR="007A494E" w:rsidRPr="00E04B87" w:rsidRDefault="007C37F8" w:rsidP="007A494E">
            <w:pPr>
              <w:spacing w:before="60" w:after="60"/>
              <w:ind w:left="30"/>
              <w:rPr>
                <w:rFonts w:ascii="Arial" w:hAnsi="Arial" w:cs="Arial"/>
                <w:b/>
                <w:color w:val="FFFFFF" w:themeColor="background1"/>
                <w:lang w:val="fr-CA"/>
              </w:rPr>
            </w:pPr>
            <w:r w:rsidRPr="00E04B87">
              <w:rPr>
                <w:rFonts w:ascii="Arial" w:hAnsi="Arial" w:cs="Arial"/>
                <w:b/>
                <w:color w:val="FFFFFF" w:themeColor="background1"/>
                <w:lang w:val="fr-CA"/>
              </w:rPr>
              <w:t>Durée</w:t>
            </w:r>
          </w:p>
        </w:tc>
      </w:tr>
      <w:tr w:rsidR="007A494E" w:rsidRPr="00E04B87" w14:paraId="3A5337B9" w14:textId="77777777">
        <w:tc>
          <w:tcPr>
            <w:tcW w:w="9738" w:type="dxa"/>
            <w:gridSpan w:val="2"/>
            <w:shd w:val="clear" w:color="auto" w:fill="E6E6E6"/>
          </w:tcPr>
          <w:p w14:paraId="7CB802E0" w14:textId="74F604A8" w:rsidR="007A494E" w:rsidRPr="00E04B87" w:rsidRDefault="00B031B9" w:rsidP="007A494E">
            <w:pPr>
              <w:keepNext/>
              <w:spacing w:before="60" w:after="60"/>
              <w:ind w:left="30"/>
              <w:rPr>
                <w:rFonts w:ascii="Arial" w:hAnsi="Arial" w:cs="Arial"/>
                <w:b/>
                <w:lang w:val="fr-CA"/>
              </w:rPr>
            </w:pPr>
            <w:r w:rsidRPr="00E04B87">
              <w:rPr>
                <w:rFonts w:ascii="Arial" w:hAnsi="Arial" w:cs="Arial"/>
                <w:b/>
                <w:lang w:val="fr-CA"/>
              </w:rPr>
              <w:t>Documents généraux de gouvernance de la Première Nation</w:t>
            </w:r>
          </w:p>
        </w:tc>
      </w:tr>
      <w:tr w:rsidR="007A494E" w:rsidRPr="00E04B87" w14:paraId="3A63238A" w14:textId="77777777">
        <w:tc>
          <w:tcPr>
            <w:tcW w:w="7128" w:type="dxa"/>
          </w:tcPr>
          <w:p w14:paraId="258D80DC" w14:textId="258CF769" w:rsidR="007A494E" w:rsidRPr="00E04B87" w:rsidRDefault="00B031B9" w:rsidP="00B031B9">
            <w:pPr>
              <w:spacing w:before="60" w:after="60"/>
              <w:ind w:left="30"/>
              <w:rPr>
                <w:rFonts w:ascii="Arial" w:hAnsi="Arial" w:cs="Arial"/>
                <w:lang w:val="fr-CA"/>
              </w:rPr>
            </w:pPr>
            <w:r w:rsidRPr="00E04B87">
              <w:rPr>
                <w:rFonts w:ascii="Arial" w:hAnsi="Arial" w:cs="Arial"/>
                <w:lang w:val="fr-CA"/>
              </w:rPr>
              <w:t>Lois, règlement, modifications législatives, réglementation, codes, directives, constitution et résolutions des membres de la Première Nation</w:t>
            </w:r>
          </w:p>
        </w:tc>
        <w:tc>
          <w:tcPr>
            <w:tcW w:w="2610" w:type="dxa"/>
          </w:tcPr>
          <w:p w14:paraId="40954ACB" w14:textId="024BBB19" w:rsidR="007A494E" w:rsidRPr="00E04B87" w:rsidRDefault="007C37F8" w:rsidP="007A494E">
            <w:pPr>
              <w:spacing w:before="60" w:after="60"/>
              <w:rPr>
                <w:rFonts w:ascii="Arial" w:hAnsi="Arial" w:cs="Arial"/>
                <w:lang w:val="fr-CA"/>
              </w:rPr>
            </w:pPr>
            <w:r w:rsidRPr="00E04B87">
              <w:rPr>
                <w:rFonts w:ascii="Arial" w:hAnsi="Arial" w:cs="Arial"/>
                <w:lang w:val="fr-CA"/>
              </w:rPr>
              <w:t>Permanente</w:t>
            </w:r>
            <w:r w:rsidR="007A494E" w:rsidRPr="00E04B87">
              <w:rPr>
                <w:rFonts w:ascii="Arial" w:hAnsi="Arial" w:cs="Arial"/>
                <w:lang w:val="fr-CA"/>
              </w:rPr>
              <w:t xml:space="preserve"> </w:t>
            </w:r>
          </w:p>
        </w:tc>
      </w:tr>
      <w:tr w:rsidR="007A494E" w:rsidRPr="00E04B87" w14:paraId="67934694" w14:textId="77777777">
        <w:tc>
          <w:tcPr>
            <w:tcW w:w="7128" w:type="dxa"/>
          </w:tcPr>
          <w:p w14:paraId="08573E27" w14:textId="758E9974" w:rsidR="007A494E" w:rsidRPr="00E04B87" w:rsidRDefault="00B031B9" w:rsidP="007A494E">
            <w:pPr>
              <w:spacing w:before="60" w:after="60"/>
              <w:ind w:left="30"/>
              <w:rPr>
                <w:rFonts w:ascii="Arial" w:hAnsi="Arial" w:cs="Arial"/>
                <w:lang w:val="fr-CA"/>
              </w:rPr>
            </w:pPr>
            <w:r w:rsidRPr="00E04B87">
              <w:rPr>
                <w:rFonts w:ascii="Arial" w:hAnsi="Arial" w:cs="Arial"/>
                <w:lang w:val="fr-CA"/>
              </w:rPr>
              <w:t xml:space="preserve">Nominations et </w:t>
            </w:r>
            <w:r w:rsidR="00B016E8" w:rsidRPr="00E04B87">
              <w:rPr>
                <w:rFonts w:ascii="Arial" w:hAnsi="Arial" w:cs="Arial"/>
                <w:lang w:val="fr-CA"/>
              </w:rPr>
              <w:t>attributions</w:t>
            </w:r>
          </w:p>
        </w:tc>
        <w:tc>
          <w:tcPr>
            <w:tcW w:w="2610" w:type="dxa"/>
          </w:tcPr>
          <w:p w14:paraId="15F8098E" w14:textId="1EC2C326" w:rsidR="007A494E" w:rsidRPr="00E04B87" w:rsidRDefault="007C37F8" w:rsidP="007A494E">
            <w:pPr>
              <w:spacing w:before="60" w:after="60"/>
              <w:rPr>
                <w:rFonts w:ascii="Arial" w:hAnsi="Arial" w:cs="Arial"/>
                <w:lang w:val="fr-CA"/>
              </w:rPr>
            </w:pPr>
            <w:r w:rsidRPr="00E04B87">
              <w:rPr>
                <w:rFonts w:ascii="Arial" w:hAnsi="Arial" w:cs="Arial"/>
                <w:lang w:val="fr-CA"/>
              </w:rPr>
              <w:t>Permanente</w:t>
            </w:r>
            <w:r w:rsidR="007A494E" w:rsidRPr="00E04B87">
              <w:rPr>
                <w:rFonts w:ascii="Arial" w:hAnsi="Arial" w:cs="Arial"/>
                <w:lang w:val="fr-CA"/>
              </w:rPr>
              <w:t xml:space="preserve"> </w:t>
            </w:r>
          </w:p>
        </w:tc>
      </w:tr>
      <w:tr w:rsidR="007A494E" w:rsidRPr="00E04B87" w14:paraId="12393D8E" w14:textId="77777777">
        <w:tc>
          <w:tcPr>
            <w:tcW w:w="7128" w:type="dxa"/>
          </w:tcPr>
          <w:p w14:paraId="18078C3C" w14:textId="6DDC31FF" w:rsidR="007A494E" w:rsidRPr="00E04B87" w:rsidRDefault="00B031B9" w:rsidP="007A494E">
            <w:pPr>
              <w:spacing w:before="60" w:after="60"/>
              <w:ind w:left="30"/>
              <w:rPr>
                <w:rFonts w:ascii="Arial" w:hAnsi="Arial" w:cs="Arial"/>
                <w:lang w:val="fr-CA"/>
              </w:rPr>
            </w:pPr>
            <w:r w:rsidRPr="00E04B87">
              <w:rPr>
                <w:rFonts w:ascii="Arial" w:hAnsi="Arial" w:cs="Arial"/>
                <w:lang w:val="fr-CA"/>
              </w:rPr>
              <w:t>Ententes, ententes de financement, engagements du conseil de Première Nation</w:t>
            </w:r>
          </w:p>
        </w:tc>
        <w:tc>
          <w:tcPr>
            <w:tcW w:w="2610" w:type="dxa"/>
          </w:tcPr>
          <w:p w14:paraId="749BA5EC" w14:textId="1C190BA3" w:rsidR="007A494E" w:rsidRPr="00E04B87" w:rsidRDefault="007C37F8" w:rsidP="007A494E">
            <w:pPr>
              <w:spacing w:before="60" w:after="60"/>
              <w:rPr>
                <w:rFonts w:ascii="Arial" w:hAnsi="Arial" w:cs="Arial"/>
                <w:lang w:val="fr-CA"/>
              </w:rPr>
            </w:pPr>
            <w:r w:rsidRPr="00E04B87">
              <w:rPr>
                <w:rFonts w:ascii="Arial" w:hAnsi="Arial" w:cs="Arial"/>
                <w:lang w:val="fr-CA"/>
              </w:rPr>
              <w:t>Permanente</w:t>
            </w:r>
            <w:r w:rsidR="007A494E" w:rsidRPr="00E04B87">
              <w:rPr>
                <w:rFonts w:ascii="Arial" w:hAnsi="Arial" w:cs="Arial"/>
                <w:lang w:val="fr-CA"/>
              </w:rPr>
              <w:t xml:space="preserve"> </w:t>
            </w:r>
          </w:p>
        </w:tc>
      </w:tr>
      <w:tr w:rsidR="007A494E" w:rsidRPr="00E04B87" w14:paraId="37E50123" w14:textId="77777777">
        <w:tc>
          <w:tcPr>
            <w:tcW w:w="7128" w:type="dxa"/>
            <w:tcBorders>
              <w:bottom w:val="single" w:sz="4" w:space="0" w:color="B2B2B2" w:themeColor="background2" w:themeShade="BF"/>
            </w:tcBorders>
          </w:tcPr>
          <w:p w14:paraId="38FB3CF0" w14:textId="0DA37554" w:rsidR="007A494E" w:rsidRPr="00E04B87" w:rsidRDefault="00B031B9" w:rsidP="00B031B9">
            <w:pPr>
              <w:spacing w:before="60" w:after="60"/>
              <w:ind w:left="30"/>
              <w:rPr>
                <w:rFonts w:ascii="Arial" w:hAnsi="Arial" w:cs="Arial"/>
                <w:lang w:val="fr-CA"/>
              </w:rPr>
            </w:pPr>
            <w:r w:rsidRPr="00E04B87">
              <w:rPr>
                <w:rFonts w:ascii="Arial" w:hAnsi="Arial" w:cs="Arial"/>
                <w:lang w:val="fr-CA"/>
              </w:rPr>
              <w:t>Procès-verbaux des réunions du conseil de Première Nation et des comités du conseil de Première Nation, rapports annuels, documents relatifs aux obligations, documents relatifs aux membres, avis publics, documents d’incorporation, sceau de société</w:t>
            </w:r>
          </w:p>
        </w:tc>
        <w:tc>
          <w:tcPr>
            <w:tcW w:w="2610" w:type="dxa"/>
            <w:tcBorders>
              <w:bottom w:val="single" w:sz="4" w:space="0" w:color="B2B2B2" w:themeColor="background2" w:themeShade="BF"/>
            </w:tcBorders>
          </w:tcPr>
          <w:p w14:paraId="195DA08D" w14:textId="3F73F536" w:rsidR="007A494E" w:rsidRPr="00E04B87" w:rsidRDefault="007C37F8" w:rsidP="007A494E">
            <w:pPr>
              <w:spacing w:before="60" w:after="60"/>
              <w:rPr>
                <w:rFonts w:ascii="Arial" w:hAnsi="Arial" w:cs="Arial"/>
                <w:lang w:val="fr-CA"/>
              </w:rPr>
            </w:pPr>
            <w:r w:rsidRPr="00E04B87">
              <w:rPr>
                <w:rFonts w:ascii="Arial" w:hAnsi="Arial" w:cs="Arial"/>
                <w:lang w:val="fr-CA"/>
              </w:rPr>
              <w:t>Permanente</w:t>
            </w:r>
            <w:r w:rsidR="007A494E" w:rsidRPr="00E04B87">
              <w:rPr>
                <w:rFonts w:ascii="Arial" w:hAnsi="Arial" w:cs="Arial"/>
                <w:lang w:val="fr-CA"/>
              </w:rPr>
              <w:t xml:space="preserve"> </w:t>
            </w:r>
          </w:p>
        </w:tc>
      </w:tr>
      <w:tr w:rsidR="007A494E" w:rsidRPr="00E04B87" w14:paraId="53767E44" w14:textId="77777777">
        <w:tc>
          <w:tcPr>
            <w:tcW w:w="9738" w:type="dxa"/>
            <w:gridSpan w:val="2"/>
            <w:shd w:val="clear" w:color="auto" w:fill="E6E6E6"/>
          </w:tcPr>
          <w:p w14:paraId="6769733B" w14:textId="00E299EA" w:rsidR="007A494E" w:rsidRPr="00E04B87" w:rsidRDefault="00A23974" w:rsidP="007A494E">
            <w:pPr>
              <w:keepNext/>
              <w:spacing w:before="60" w:after="60"/>
              <w:rPr>
                <w:rFonts w:ascii="Arial" w:hAnsi="Arial" w:cs="Arial"/>
                <w:b/>
                <w:lang w:val="fr-CA"/>
              </w:rPr>
            </w:pPr>
            <w:r w:rsidRPr="00E04B87">
              <w:rPr>
                <w:rFonts w:ascii="Arial" w:hAnsi="Arial" w:cs="Arial"/>
                <w:b/>
                <w:lang w:val="fr-CA"/>
              </w:rPr>
              <w:t>Dossiers et documents juridiques</w:t>
            </w:r>
          </w:p>
        </w:tc>
      </w:tr>
      <w:tr w:rsidR="007A494E" w:rsidRPr="00E04B87" w14:paraId="76FF5530" w14:textId="77777777">
        <w:tc>
          <w:tcPr>
            <w:tcW w:w="7128" w:type="dxa"/>
          </w:tcPr>
          <w:p w14:paraId="03D6DCC2" w14:textId="630351BB" w:rsidR="007A494E" w:rsidRPr="00E04B87" w:rsidRDefault="00A23974" w:rsidP="00A23974">
            <w:pPr>
              <w:spacing w:before="60" w:after="60"/>
              <w:ind w:left="30"/>
              <w:rPr>
                <w:rFonts w:ascii="Arial" w:hAnsi="Arial" w:cs="Arial"/>
                <w:lang w:val="fr-CA"/>
              </w:rPr>
            </w:pPr>
            <w:r w:rsidRPr="00E04B87">
              <w:rPr>
                <w:rFonts w:ascii="Arial" w:hAnsi="Arial" w:cs="Arial"/>
                <w:lang w:val="fr-CA"/>
              </w:rPr>
              <w:t>Contrats avec des clients et des fournisseurs et correspondance s’y rattachant</w:t>
            </w:r>
          </w:p>
        </w:tc>
        <w:tc>
          <w:tcPr>
            <w:tcW w:w="2610" w:type="dxa"/>
          </w:tcPr>
          <w:p w14:paraId="64DFC116" w14:textId="1AEF4737" w:rsidR="007A494E" w:rsidRPr="00E04B87" w:rsidRDefault="003D5EC9" w:rsidP="007A494E">
            <w:pPr>
              <w:spacing w:before="60" w:after="60"/>
              <w:rPr>
                <w:rFonts w:ascii="Arial" w:hAnsi="Arial" w:cs="Arial"/>
                <w:lang w:val="fr-CA"/>
              </w:rPr>
            </w:pPr>
            <w:r w:rsidRPr="00E04B87">
              <w:rPr>
                <w:rFonts w:ascii="Arial" w:hAnsi="Arial" w:cs="Arial"/>
                <w:lang w:val="fr-CA"/>
              </w:rPr>
              <w:t xml:space="preserve">7 </w:t>
            </w:r>
            <w:r w:rsidR="007C37F8" w:rsidRPr="00E04B87">
              <w:rPr>
                <w:rFonts w:ascii="Arial" w:hAnsi="Arial" w:cs="Arial"/>
                <w:lang w:val="fr-CA"/>
              </w:rPr>
              <w:t>ans après l’expiration du contrat</w:t>
            </w:r>
          </w:p>
        </w:tc>
      </w:tr>
      <w:tr w:rsidR="007A494E" w:rsidRPr="00E04B87" w14:paraId="4EFA934F" w14:textId="77777777">
        <w:tc>
          <w:tcPr>
            <w:tcW w:w="7128" w:type="dxa"/>
          </w:tcPr>
          <w:p w14:paraId="3C73F75E" w14:textId="173F4CEA" w:rsidR="007A494E" w:rsidRPr="00E04B87" w:rsidRDefault="00A23974" w:rsidP="00A23974">
            <w:pPr>
              <w:spacing w:before="60" w:after="60"/>
              <w:ind w:left="30"/>
              <w:rPr>
                <w:rFonts w:ascii="Arial" w:hAnsi="Arial" w:cs="Arial"/>
                <w:lang w:val="fr-CA"/>
              </w:rPr>
            </w:pPr>
            <w:r w:rsidRPr="00E04B87">
              <w:rPr>
                <w:rFonts w:ascii="Arial" w:hAnsi="Arial" w:cs="Arial"/>
                <w:lang w:val="fr-CA"/>
              </w:rPr>
              <w:t xml:space="preserve">Ententes contractuelles ou d’une autre nature (p. ex. contribution, répercussions et avantages, fiducie) conclues entre la Première Nation et d’autres parties et correspondance s’y rattachant </w:t>
            </w:r>
          </w:p>
        </w:tc>
        <w:tc>
          <w:tcPr>
            <w:tcW w:w="2610" w:type="dxa"/>
          </w:tcPr>
          <w:p w14:paraId="47E59E66" w14:textId="10EAB39D" w:rsidR="007A494E" w:rsidRPr="00E04B87" w:rsidRDefault="007C37F8" w:rsidP="007A494E">
            <w:pPr>
              <w:spacing w:before="60" w:after="60"/>
              <w:rPr>
                <w:rFonts w:ascii="Arial" w:hAnsi="Arial" w:cs="Arial"/>
                <w:lang w:val="fr-CA"/>
              </w:rPr>
            </w:pPr>
            <w:r w:rsidRPr="00E04B87">
              <w:rPr>
                <w:rFonts w:ascii="Arial" w:hAnsi="Arial" w:cs="Arial"/>
                <w:lang w:val="fr-CA"/>
              </w:rPr>
              <w:t>7 ans après l’expiration du contrat</w:t>
            </w:r>
          </w:p>
        </w:tc>
      </w:tr>
      <w:tr w:rsidR="007A494E" w:rsidRPr="00E04B87" w14:paraId="77335C41" w14:textId="77777777">
        <w:tc>
          <w:tcPr>
            <w:tcW w:w="7128" w:type="dxa"/>
          </w:tcPr>
          <w:p w14:paraId="7DF218E2" w14:textId="3BBEC3E8" w:rsidR="007A494E" w:rsidRPr="00E04B87" w:rsidRDefault="00A23974" w:rsidP="00A23974">
            <w:pPr>
              <w:spacing w:before="60" w:after="60"/>
              <w:ind w:left="30"/>
              <w:rPr>
                <w:rFonts w:ascii="Arial" w:hAnsi="Arial" w:cs="Arial"/>
                <w:lang w:val="fr-CA"/>
              </w:rPr>
            </w:pPr>
            <w:r w:rsidRPr="00E04B87">
              <w:rPr>
                <w:rFonts w:ascii="Arial" w:hAnsi="Arial" w:cs="Arial"/>
                <w:lang w:val="fr-CA"/>
              </w:rPr>
              <w:t>Documents relatifs à des litiges d’importance majeure, y compris les documents relatifs à l’inconduite financière interne</w:t>
            </w:r>
          </w:p>
        </w:tc>
        <w:tc>
          <w:tcPr>
            <w:tcW w:w="2610" w:type="dxa"/>
          </w:tcPr>
          <w:p w14:paraId="4BB1987A" w14:textId="2035AB4E" w:rsidR="007A494E" w:rsidRPr="00E04B87" w:rsidRDefault="002D5671" w:rsidP="007A494E">
            <w:pPr>
              <w:spacing w:before="60" w:after="60"/>
              <w:rPr>
                <w:rFonts w:ascii="Arial" w:hAnsi="Arial" w:cs="Arial"/>
                <w:lang w:val="fr-CA"/>
              </w:rPr>
            </w:pPr>
            <w:r w:rsidRPr="00E04B87">
              <w:rPr>
                <w:rFonts w:ascii="Arial" w:hAnsi="Arial" w:cs="Arial"/>
                <w:lang w:val="fr-CA"/>
              </w:rPr>
              <w:t>5 ans après l’expiration du délai d’appel ou selon les directives du conseiller juridique</w:t>
            </w:r>
          </w:p>
        </w:tc>
      </w:tr>
      <w:tr w:rsidR="007A494E" w:rsidRPr="00E04B87" w14:paraId="60C78BD1" w14:textId="77777777">
        <w:tc>
          <w:tcPr>
            <w:tcW w:w="7128" w:type="dxa"/>
          </w:tcPr>
          <w:p w14:paraId="086724F3" w14:textId="0BBE9A93" w:rsidR="007A494E" w:rsidRPr="00E04B87" w:rsidRDefault="00A23974" w:rsidP="00A23974">
            <w:pPr>
              <w:spacing w:before="60" w:after="60"/>
              <w:ind w:left="30"/>
              <w:rPr>
                <w:rFonts w:ascii="Arial" w:hAnsi="Arial" w:cs="Arial"/>
                <w:lang w:val="fr-CA"/>
              </w:rPr>
            </w:pPr>
            <w:r w:rsidRPr="00E04B87">
              <w:rPr>
                <w:rFonts w:ascii="Arial" w:hAnsi="Arial" w:cs="Arial"/>
                <w:lang w:val="fr-CA"/>
              </w:rPr>
              <w:t>Documents relatifs à des litiges d’importance mineure, y compris les documents relatifs à l’inconduite financière interne</w:t>
            </w:r>
          </w:p>
        </w:tc>
        <w:tc>
          <w:tcPr>
            <w:tcW w:w="2610" w:type="dxa"/>
          </w:tcPr>
          <w:p w14:paraId="78013127" w14:textId="1A2A515E" w:rsidR="007A494E" w:rsidRPr="00E04B87" w:rsidRDefault="002D5671" w:rsidP="007A494E">
            <w:pPr>
              <w:spacing w:before="60" w:after="60"/>
              <w:rPr>
                <w:rFonts w:ascii="Arial" w:hAnsi="Arial" w:cs="Arial"/>
                <w:lang w:val="fr-CA"/>
              </w:rPr>
            </w:pPr>
            <w:r w:rsidRPr="00E04B87">
              <w:rPr>
                <w:rFonts w:ascii="Arial" w:hAnsi="Arial" w:cs="Arial"/>
                <w:lang w:val="fr-CA"/>
              </w:rPr>
              <w:t>2 ans après l’expiration du délai d’appel</w:t>
            </w:r>
          </w:p>
        </w:tc>
      </w:tr>
      <w:tr w:rsidR="007A494E" w:rsidRPr="00E04B87" w14:paraId="6C78AD17" w14:textId="77777777">
        <w:tc>
          <w:tcPr>
            <w:tcW w:w="7128" w:type="dxa"/>
          </w:tcPr>
          <w:p w14:paraId="624BCB6F" w14:textId="6A7DE331" w:rsidR="007A494E" w:rsidRPr="00E04B87" w:rsidRDefault="00A23974" w:rsidP="009D5166">
            <w:pPr>
              <w:spacing w:before="60" w:after="60"/>
              <w:ind w:left="30"/>
              <w:rPr>
                <w:rFonts w:ascii="Arial" w:hAnsi="Arial" w:cs="Arial"/>
                <w:lang w:val="fr-CA"/>
              </w:rPr>
            </w:pPr>
            <w:r w:rsidRPr="00E04B87">
              <w:rPr>
                <w:rFonts w:ascii="Arial" w:hAnsi="Arial" w:cs="Arial"/>
                <w:lang w:val="fr-CA"/>
              </w:rPr>
              <w:t>Polices d’assurance, y compris pour la responsabilité à l’égard de produits ou de services, la responsabilité des membres du conseil de Première Nation, la responsabilité générale et la responsabilité de tiers</w:t>
            </w:r>
            <w:r w:rsidR="009D5166" w:rsidRPr="00E04B87">
              <w:rPr>
                <w:rFonts w:ascii="Arial" w:hAnsi="Arial" w:cs="Arial"/>
                <w:lang w:val="fr-CA"/>
              </w:rPr>
              <w:t xml:space="preserve"> ainsi que l’assurance des biens et contre les act</w:t>
            </w:r>
            <w:r w:rsidR="00B016E8" w:rsidRPr="00E04B87">
              <w:rPr>
                <w:rFonts w:ascii="Arial" w:hAnsi="Arial" w:cs="Arial"/>
                <w:lang w:val="fr-CA"/>
              </w:rPr>
              <w:t>e</w:t>
            </w:r>
            <w:r w:rsidR="009D5166" w:rsidRPr="00E04B87">
              <w:rPr>
                <w:rFonts w:ascii="Arial" w:hAnsi="Arial" w:cs="Arial"/>
                <w:lang w:val="fr-CA"/>
              </w:rPr>
              <w:t>s criminels</w:t>
            </w:r>
          </w:p>
        </w:tc>
        <w:tc>
          <w:tcPr>
            <w:tcW w:w="2610" w:type="dxa"/>
          </w:tcPr>
          <w:p w14:paraId="10C83A7E" w14:textId="56A079C8" w:rsidR="007A494E" w:rsidRPr="00E04B87" w:rsidRDefault="007A494E" w:rsidP="007A494E">
            <w:pPr>
              <w:spacing w:before="60" w:after="60"/>
              <w:rPr>
                <w:rFonts w:ascii="Arial" w:hAnsi="Arial" w:cs="Arial"/>
                <w:lang w:val="fr-CA"/>
              </w:rPr>
            </w:pPr>
            <w:r w:rsidRPr="00E04B87">
              <w:rPr>
                <w:rFonts w:ascii="Arial" w:hAnsi="Arial" w:cs="Arial"/>
                <w:lang w:val="fr-CA"/>
              </w:rPr>
              <w:t xml:space="preserve">7 </w:t>
            </w:r>
            <w:r w:rsidR="002D5671" w:rsidRPr="00E04B87">
              <w:rPr>
                <w:rFonts w:ascii="Arial" w:hAnsi="Arial" w:cs="Arial"/>
                <w:lang w:val="fr-CA"/>
              </w:rPr>
              <w:t>ans après le remplacement de la police</w:t>
            </w:r>
          </w:p>
        </w:tc>
      </w:tr>
      <w:tr w:rsidR="007A494E" w:rsidRPr="00E04B87" w14:paraId="1232EFBE" w14:textId="77777777">
        <w:tc>
          <w:tcPr>
            <w:tcW w:w="7128" w:type="dxa"/>
          </w:tcPr>
          <w:p w14:paraId="6C9549D5" w14:textId="2E92BECB" w:rsidR="007A494E" w:rsidRPr="00E04B87" w:rsidRDefault="00333EA2" w:rsidP="00333EA2">
            <w:pPr>
              <w:spacing w:before="60" w:after="60"/>
              <w:ind w:left="30"/>
              <w:rPr>
                <w:rFonts w:ascii="Arial" w:hAnsi="Arial" w:cs="Arial"/>
                <w:lang w:val="fr-CA"/>
              </w:rPr>
            </w:pPr>
            <w:r w:rsidRPr="00E04B87">
              <w:rPr>
                <w:rFonts w:ascii="Arial" w:hAnsi="Arial" w:cs="Arial"/>
                <w:lang w:val="fr-CA"/>
              </w:rPr>
              <w:t>Documents relatifs à l’achat, à la vente ou à la location de biens</w:t>
            </w:r>
          </w:p>
        </w:tc>
        <w:tc>
          <w:tcPr>
            <w:tcW w:w="2610" w:type="dxa"/>
          </w:tcPr>
          <w:p w14:paraId="363E6199" w14:textId="443E9D44" w:rsidR="007A494E" w:rsidRPr="00E04B87" w:rsidRDefault="007C37F8" w:rsidP="007A494E">
            <w:pPr>
              <w:spacing w:before="60" w:after="60"/>
              <w:rPr>
                <w:rFonts w:ascii="Arial" w:hAnsi="Arial" w:cs="Arial"/>
                <w:lang w:val="fr-CA"/>
              </w:rPr>
            </w:pPr>
            <w:r w:rsidRPr="00E04B87">
              <w:rPr>
                <w:rFonts w:ascii="Arial" w:hAnsi="Arial" w:cs="Arial"/>
                <w:lang w:val="fr-CA"/>
              </w:rPr>
              <w:t>Permanente</w:t>
            </w:r>
          </w:p>
        </w:tc>
      </w:tr>
      <w:tr w:rsidR="007A494E" w:rsidRPr="00E04B87" w14:paraId="335E39BF" w14:textId="77777777">
        <w:tc>
          <w:tcPr>
            <w:tcW w:w="7128" w:type="dxa"/>
            <w:tcBorders>
              <w:bottom w:val="single" w:sz="4" w:space="0" w:color="B2B2B2" w:themeColor="background2" w:themeShade="BF"/>
            </w:tcBorders>
          </w:tcPr>
          <w:p w14:paraId="4724189A" w14:textId="71197730" w:rsidR="007A494E" w:rsidRPr="00E04B87" w:rsidRDefault="00333EA2" w:rsidP="00333EA2">
            <w:pPr>
              <w:spacing w:before="60" w:after="60"/>
              <w:ind w:left="30"/>
              <w:rPr>
                <w:rFonts w:ascii="Arial" w:hAnsi="Arial" w:cs="Arial"/>
                <w:lang w:val="fr-CA"/>
              </w:rPr>
            </w:pPr>
            <w:r w:rsidRPr="00E04B87">
              <w:rPr>
                <w:rFonts w:ascii="Arial" w:hAnsi="Arial" w:cs="Arial"/>
                <w:lang w:val="fr-CA"/>
              </w:rPr>
              <w:t xml:space="preserve">Documents relatifs aux placements en titre de capitaux propres et </w:t>
            </w:r>
            <w:r w:rsidR="00924EA8" w:rsidRPr="00E04B87">
              <w:rPr>
                <w:rFonts w:ascii="Arial" w:hAnsi="Arial" w:cs="Arial"/>
                <w:lang w:val="fr-CA"/>
              </w:rPr>
              <w:t>aux investissements</w:t>
            </w:r>
            <w:r w:rsidRPr="00E04B87">
              <w:rPr>
                <w:rFonts w:ascii="Arial" w:hAnsi="Arial" w:cs="Arial"/>
                <w:lang w:val="fr-CA"/>
              </w:rPr>
              <w:t xml:space="preserve"> dans des coentreprises</w:t>
            </w:r>
          </w:p>
        </w:tc>
        <w:tc>
          <w:tcPr>
            <w:tcW w:w="2610" w:type="dxa"/>
            <w:tcBorders>
              <w:bottom w:val="single" w:sz="4" w:space="0" w:color="B2B2B2" w:themeColor="background2" w:themeShade="BF"/>
            </w:tcBorders>
          </w:tcPr>
          <w:p w14:paraId="4ED097D9" w14:textId="4F11988C" w:rsidR="007A494E" w:rsidRPr="00E04B87" w:rsidRDefault="007C37F8" w:rsidP="007A494E">
            <w:pPr>
              <w:spacing w:before="60" w:after="60"/>
              <w:rPr>
                <w:rFonts w:ascii="Arial" w:hAnsi="Arial" w:cs="Arial"/>
                <w:lang w:val="fr-CA"/>
              </w:rPr>
            </w:pPr>
            <w:r w:rsidRPr="00E04B87">
              <w:rPr>
                <w:rFonts w:ascii="Arial" w:hAnsi="Arial" w:cs="Arial"/>
                <w:lang w:val="fr-CA"/>
              </w:rPr>
              <w:t>Permanente</w:t>
            </w:r>
          </w:p>
        </w:tc>
      </w:tr>
      <w:tr w:rsidR="007A494E" w:rsidRPr="00E04B87" w14:paraId="0CFE3AD1" w14:textId="77777777">
        <w:tc>
          <w:tcPr>
            <w:tcW w:w="9738" w:type="dxa"/>
            <w:gridSpan w:val="2"/>
            <w:shd w:val="clear" w:color="auto" w:fill="E6E6E6"/>
          </w:tcPr>
          <w:p w14:paraId="40DA2D07" w14:textId="2A3DAA3B" w:rsidR="007A494E" w:rsidRPr="00E04B87" w:rsidRDefault="009A7CE2" w:rsidP="007A494E">
            <w:pPr>
              <w:keepNext/>
              <w:spacing w:before="60" w:after="60"/>
              <w:rPr>
                <w:rFonts w:ascii="Arial" w:hAnsi="Arial" w:cs="Arial"/>
                <w:b/>
                <w:lang w:val="fr-CA"/>
              </w:rPr>
            </w:pPr>
            <w:r w:rsidRPr="00E04B87">
              <w:rPr>
                <w:rFonts w:ascii="Arial" w:hAnsi="Arial" w:cs="Arial"/>
                <w:b/>
                <w:lang w:val="fr-CA"/>
              </w:rPr>
              <w:t>Ressources humaines</w:t>
            </w:r>
          </w:p>
        </w:tc>
      </w:tr>
      <w:tr w:rsidR="007A494E" w:rsidRPr="00E04B87" w14:paraId="453FEC25" w14:textId="77777777">
        <w:tc>
          <w:tcPr>
            <w:tcW w:w="7128" w:type="dxa"/>
          </w:tcPr>
          <w:p w14:paraId="10230C2A" w14:textId="23DF5403" w:rsidR="007A494E" w:rsidRPr="00E04B87" w:rsidRDefault="009A7CE2" w:rsidP="009A7CE2">
            <w:pPr>
              <w:spacing w:before="60" w:after="60"/>
              <w:ind w:left="30"/>
              <w:rPr>
                <w:rFonts w:ascii="Arial" w:hAnsi="Arial" w:cs="Arial"/>
                <w:lang w:val="fr-CA"/>
              </w:rPr>
            </w:pPr>
            <w:r w:rsidRPr="00E04B87">
              <w:rPr>
                <w:rFonts w:ascii="Arial" w:hAnsi="Arial" w:cs="Arial"/>
                <w:lang w:val="fr-CA"/>
              </w:rPr>
              <w:t>Manuels et procédures du personnel</w:t>
            </w:r>
          </w:p>
        </w:tc>
        <w:tc>
          <w:tcPr>
            <w:tcW w:w="2610" w:type="dxa"/>
          </w:tcPr>
          <w:p w14:paraId="2B966F7E" w14:textId="787BA378" w:rsidR="007A494E" w:rsidRPr="00E04B87" w:rsidRDefault="007C37F8" w:rsidP="007A494E">
            <w:pPr>
              <w:spacing w:before="60" w:after="60"/>
              <w:rPr>
                <w:rFonts w:ascii="Arial" w:hAnsi="Arial" w:cs="Arial"/>
                <w:lang w:val="fr-CA"/>
              </w:rPr>
            </w:pPr>
            <w:r w:rsidRPr="00E04B87">
              <w:rPr>
                <w:rFonts w:ascii="Arial" w:hAnsi="Arial" w:cs="Arial"/>
                <w:lang w:val="fr-CA"/>
              </w:rPr>
              <w:t>Permanente</w:t>
            </w:r>
          </w:p>
        </w:tc>
      </w:tr>
      <w:tr w:rsidR="007A494E" w:rsidRPr="00E04B87" w14:paraId="361F0F65" w14:textId="77777777">
        <w:tc>
          <w:tcPr>
            <w:tcW w:w="7128" w:type="dxa"/>
          </w:tcPr>
          <w:p w14:paraId="40532A32" w14:textId="1980DD45" w:rsidR="007A494E" w:rsidRPr="00E04B87" w:rsidRDefault="009A7CE2" w:rsidP="007A494E">
            <w:pPr>
              <w:spacing w:before="60" w:after="60"/>
              <w:ind w:left="30"/>
              <w:rPr>
                <w:rFonts w:ascii="Arial" w:hAnsi="Arial" w:cs="Arial"/>
                <w:lang w:val="fr-CA"/>
              </w:rPr>
            </w:pPr>
            <w:r w:rsidRPr="00E04B87">
              <w:rPr>
                <w:rFonts w:ascii="Arial" w:hAnsi="Arial" w:cs="Arial"/>
                <w:lang w:val="fr-CA"/>
              </w:rPr>
              <w:t>Organigrammes</w:t>
            </w:r>
          </w:p>
        </w:tc>
        <w:tc>
          <w:tcPr>
            <w:tcW w:w="2610" w:type="dxa"/>
          </w:tcPr>
          <w:p w14:paraId="5186A970" w14:textId="0A6F2100" w:rsidR="007A494E" w:rsidRPr="00E04B87" w:rsidRDefault="007C37F8" w:rsidP="007A494E">
            <w:pPr>
              <w:spacing w:before="60" w:after="60"/>
              <w:rPr>
                <w:rFonts w:ascii="Arial" w:hAnsi="Arial" w:cs="Arial"/>
                <w:lang w:val="fr-CA"/>
              </w:rPr>
            </w:pPr>
            <w:r w:rsidRPr="00E04B87">
              <w:rPr>
                <w:rFonts w:ascii="Arial" w:hAnsi="Arial" w:cs="Arial"/>
                <w:lang w:val="fr-CA"/>
              </w:rPr>
              <w:t>Permanente</w:t>
            </w:r>
          </w:p>
        </w:tc>
      </w:tr>
      <w:tr w:rsidR="007A494E" w:rsidRPr="00E04B87" w14:paraId="239E44A6" w14:textId="77777777">
        <w:tc>
          <w:tcPr>
            <w:tcW w:w="7128" w:type="dxa"/>
          </w:tcPr>
          <w:p w14:paraId="609E6A22" w14:textId="687230AB" w:rsidR="007A494E" w:rsidRPr="00E04B87" w:rsidRDefault="009A7CE2" w:rsidP="007A494E">
            <w:pPr>
              <w:spacing w:before="60" w:after="60"/>
              <w:ind w:left="30"/>
              <w:rPr>
                <w:rFonts w:ascii="Arial" w:hAnsi="Arial" w:cs="Arial"/>
                <w:lang w:val="fr-CA"/>
              </w:rPr>
            </w:pPr>
            <w:r w:rsidRPr="00E04B87">
              <w:rPr>
                <w:rFonts w:ascii="Arial" w:hAnsi="Arial" w:cs="Arial"/>
                <w:lang w:val="fr-CA"/>
              </w:rPr>
              <w:t>Si un régime de retraite est offert</w:t>
            </w:r>
            <w:r w:rsidR="007A494E" w:rsidRPr="00E04B87">
              <w:rPr>
                <w:rFonts w:ascii="Arial" w:hAnsi="Arial" w:cs="Arial"/>
                <w:lang w:val="fr-CA"/>
              </w:rPr>
              <w:t xml:space="preserve"> (</w:t>
            </w:r>
            <w:r w:rsidRPr="00E04B87">
              <w:rPr>
                <w:rFonts w:ascii="Arial" w:hAnsi="Arial" w:cs="Arial"/>
                <w:lang w:val="fr-CA"/>
              </w:rPr>
              <w:t>sauf les REER</w:t>
            </w:r>
            <w:r w:rsidR="007A494E" w:rsidRPr="00E04B87">
              <w:rPr>
                <w:rFonts w:ascii="Arial" w:hAnsi="Arial" w:cs="Arial"/>
                <w:lang w:val="fr-CA"/>
              </w:rPr>
              <w:t>)</w:t>
            </w:r>
            <w:r w:rsidRPr="00E04B87">
              <w:rPr>
                <w:rFonts w:ascii="Arial" w:hAnsi="Arial" w:cs="Arial"/>
                <w:lang w:val="fr-CA"/>
              </w:rPr>
              <w:t> :</w:t>
            </w:r>
          </w:p>
          <w:p w14:paraId="385A8F64" w14:textId="7A59AC91" w:rsidR="007A494E" w:rsidRPr="00E04B87" w:rsidRDefault="009A7CE2" w:rsidP="008D19F4">
            <w:pPr>
              <w:pStyle w:val="ListParagraph"/>
              <w:spacing w:before="60" w:after="60"/>
              <w:rPr>
                <w:lang w:val="fr-CA"/>
              </w:rPr>
            </w:pPr>
            <w:proofErr w:type="gramStart"/>
            <w:r w:rsidRPr="00E04B87">
              <w:rPr>
                <w:lang w:val="fr-CA"/>
              </w:rPr>
              <w:t>documents</w:t>
            </w:r>
            <w:proofErr w:type="gramEnd"/>
            <w:r w:rsidRPr="00E04B87">
              <w:rPr>
                <w:lang w:val="fr-CA"/>
              </w:rPr>
              <w:t xml:space="preserve"> du régime originaux</w:t>
            </w:r>
          </w:p>
          <w:p w14:paraId="3770000A" w14:textId="27B375F3" w:rsidR="009A7CE2" w:rsidRPr="00E04B87" w:rsidRDefault="009A7CE2" w:rsidP="008D19F4">
            <w:pPr>
              <w:pStyle w:val="ListParagraph"/>
              <w:spacing w:before="60" w:after="60"/>
              <w:rPr>
                <w:lang w:val="fr-CA"/>
              </w:rPr>
            </w:pPr>
            <w:proofErr w:type="gramStart"/>
            <w:r w:rsidRPr="00E04B87">
              <w:rPr>
                <w:lang w:val="fr-CA"/>
              </w:rPr>
              <w:t>registre</w:t>
            </w:r>
            <w:proofErr w:type="gramEnd"/>
            <w:r w:rsidRPr="00E04B87">
              <w:rPr>
                <w:lang w:val="fr-CA"/>
              </w:rPr>
              <w:t xml:space="preserve"> des services ouvrant droit à pension et de l’admissibilité de l’employé</w:t>
            </w:r>
          </w:p>
          <w:p w14:paraId="60091AA8" w14:textId="2F4A5F8D" w:rsidR="007A494E" w:rsidRPr="00E04B87" w:rsidRDefault="009A7CE2" w:rsidP="000E6AAD">
            <w:pPr>
              <w:pStyle w:val="ListParagraph"/>
              <w:spacing w:before="60" w:after="60"/>
              <w:rPr>
                <w:lang w:val="fr-CA"/>
              </w:rPr>
            </w:pPr>
            <w:proofErr w:type="gramStart"/>
            <w:r w:rsidRPr="00E04B87">
              <w:rPr>
                <w:lang w:val="fr-CA"/>
              </w:rPr>
              <w:t>données</w:t>
            </w:r>
            <w:proofErr w:type="gramEnd"/>
            <w:r w:rsidRPr="00E04B87">
              <w:rPr>
                <w:lang w:val="fr-CA"/>
              </w:rPr>
              <w:t xml:space="preserve"> de l’employé telles que le nom, l’adresse, le numéro d’assurance sociale, </w:t>
            </w:r>
            <w:r w:rsidR="00A60E28" w:rsidRPr="00E04B87">
              <w:rPr>
                <w:lang w:val="fr-CA"/>
              </w:rPr>
              <w:t>l’historique des salaires</w:t>
            </w:r>
            <w:r w:rsidRPr="00E04B87">
              <w:rPr>
                <w:lang w:val="fr-CA"/>
              </w:rPr>
              <w:t>, le taux de rente</w:t>
            </w:r>
          </w:p>
        </w:tc>
        <w:tc>
          <w:tcPr>
            <w:tcW w:w="2610" w:type="dxa"/>
          </w:tcPr>
          <w:p w14:paraId="58508229" w14:textId="33A24E94" w:rsidR="007A494E" w:rsidRPr="00E04B87" w:rsidRDefault="0017256C" w:rsidP="007A494E">
            <w:pPr>
              <w:spacing w:before="60" w:after="60"/>
              <w:rPr>
                <w:rFonts w:ascii="Arial" w:hAnsi="Arial" w:cs="Arial"/>
                <w:lang w:val="fr-CA"/>
              </w:rPr>
            </w:pPr>
            <w:r w:rsidRPr="00E04B87">
              <w:rPr>
                <w:rFonts w:ascii="Arial" w:hAnsi="Arial" w:cs="Arial"/>
                <w:lang w:val="fr-CA"/>
              </w:rPr>
              <w:t>7 ans après le décès de l’employé ou de son conjoint, si le conjoint est admissible à une rente</w:t>
            </w:r>
          </w:p>
        </w:tc>
      </w:tr>
      <w:tr w:rsidR="007A494E" w:rsidRPr="00E04B87" w14:paraId="10BA07DB" w14:textId="77777777">
        <w:tc>
          <w:tcPr>
            <w:tcW w:w="7128" w:type="dxa"/>
          </w:tcPr>
          <w:p w14:paraId="13F4CF04" w14:textId="51984DBD" w:rsidR="00A60E28" w:rsidRPr="00E04B87" w:rsidRDefault="00A60E28" w:rsidP="007A494E">
            <w:pPr>
              <w:spacing w:before="60" w:after="60"/>
              <w:ind w:left="30"/>
              <w:rPr>
                <w:rFonts w:ascii="Arial" w:hAnsi="Arial" w:cs="Arial"/>
                <w:lang w:val="fr-CA"/>
              </w:rPr>
            </w:pPr>
            <w:r w:rsidRPr="00E04B87">
              <w:rPr>
                <w:rFonts w:ascii="Arial" w:hAnsi="Arial" w:cs="Arial"/>
                <w:lang w:val="fr-CA"/>
              </w:rPr>
              <w:t>Lettres d’offre d’emploi et contrats d’emploi individuels</w:t>
            </w:r>
          </w:p>
          <w:p w14:paraId="1AF1A91A" w14:textId="77777777" w:rsidR="007A494E" w:rsidRPr="00E04B87" w:rsidRDefault="007A494E" w:rsidP="00A60E28">
            <w:pPr>
              <w:spacing w:before="60" w:after="60"/>
              <w:rPr>
                <w:rFonts w:ascii="Arial" w:hAnsi="Arial" w:cs="Arial"/>
                <w:lang w:val="fr-CA"/>
              </w:rPr>
            </w:pPr>
          </w:p>
        </w:tc>
        <w:tc>
          <w:tcPr>
            <w:tcW w:w="2610" w:type="dxa"/>
          </w:tcPr>
          <w:p w14:paraId="43F10783" w14:textId="52F9A891" w:rsidR="007A494E" w:rsidRPr="00E04B87" w:rsidRDefault="00A60E28" w:rsidP="007A494E">
            <w:pPr>
              <w:spacing w:before="60" w:after="60"/>
              <w:rPr>
                <w:rFonts w:ascii="Arial" w:hAnsi="Arial" w:cs="Arial"/>
                <w:lang w:val="fr-CA"/>
              </w:rPr>
            </w:pPr>
            <w:r w:rsidRPr="00E04B87">
              <w:rPr>
                <w:rFonts w:ascii="Arial" w:hAnsi="Arial" w:cs="Arial"/>
                <w:lang w:val="fr-CA"/>
              </w:rPr>
              <w:t>2 ans après la cessation d’emploi de l’emplo</w:t>
            </w:r>
            <w:r w:rsidR="00924EA8" w:rsidRPr="00E04B87">
              <w:rPr>
                <w:rFonts w:ascii="Arial" w:hAnsi="Arial" w:cs="Arial"/>
                <w:lang w:val="fr-CA"/>
              </w:rPr>
              <w:t>y</w:t>
            </w:r>
            <w:r w:rsidRPr="00E04B87">
              <w:rPr>
                <w:rFonts w:ascii="Arial" w:hAnsi="Arial" w:cs="Arial"/>
                <w:lang w:val="fr-CA"/>
              </w:rPr>
              <w:t>é</w:t>
            </w:r>
          </w:p>
        </w:tc>
      </w:tr>
      <w:tr w:rsidR="00A60E28" w:rsidRPr="00E04B87" w14:paraId="32293F9A" w14:textId="77777777">
        <w:tc>
          <w:tcPr>
            <w:tcW w:w="7128" w:type="dxa"/>
          </w:tcPr>
          <w:p w14:paraId="4BCC192D" w14:textId="011E016C" w:rsidR="00A60E28" w:rsidRPr="00E04B87" w:rsidRDefault="00A60E28" w:rsidP="00A60E28">
            <w:pPr>
              <w:spacing w:before="60" w:after="60"/>
              <w:ind w:left="30"/>
              <w:rPr>
                <w:rFonts w:ascii="Arial" w:hAnsi="Arial" w:cs="Arial"/>
                <w:lang w:val="fr-CA"/>
              </w:rPr>
            </w:pPr>
            <w:r w:rsidRPr="00E04B87">
              <w:rPr>
                <w:rFonts w:ascii="Arial" w:hAnsi="Arial" w:cs="Arial"/>
                <w:lang w:val="fr-CA"/>
              </w:rPr>
              <w:t>Formulaires signés relatifs aux obligations liées au code de conduite et à la déclaration de conflits d’intérêts</w:t>
            </w:r>
          </w:p>
        </w:tc>
        <w:tc>
          <w:tcPr>
            <w:tcW w:w="2610" w:type="dxa"/>
          </w:tcPr>
          <w:p w14:paraId="6FEEAB29" w14:textId="68C93935" w:rsidR="00A60E28" w:rsidRPr="00E04B87" w:rsidRDefault="00A60E28" w:rsidP="00A60E28">
            <w:pPr>
              <w:spacing w:before="60" w:after="60"/>
              <w:rPr>
                <w:rFonts w:ascii="Arial" w:hAnsi="Arial" w:cs="Arial"/>
                <w:lang w:val="fr-CA"/>
              </w:rPr>
            </w:pPr>
            <w:r w:rsidRPr="00E04B87">
              <w:rPr>
                <w:rFonts w:ascii="Arial" w:hAnsi="Arial" w:cs="Arial"/>
                <w:lang w:val="fr-CA"/>
              </w:rPr>
              <w:t>2 ans après la cessation d’emploi de l’emplo</w:t>
            </w:r>
            <w:r w:rsidR="00924EA8" w:rsidRPr="00E04B87">
              <w:rPr>
                <w:rFonts w:ascii="Arial" w:hAnsi="Arial" w:cs="Arial"/>
                <w:lang w:val="fr-CA"/>
              </w:rPr>
              <w:t>y</w:t>
            </w:r>
            <w:r w:rsidRPr="00E04B87">
              <w:rPr>
                <w:rFonts w:ascii="Arial" w:hAnsi="Arial" w:cs="Arial"/>
                <w:lang w:val="fr-CA"/>
              </w:rPr>
              <w:t>é</w:t>
            </w:r>
          </w:p>
        </w:tc>
      </w:tr>
      <w:tr w:rsidR="00A60E28" w:rsidRPr="00E04B87" w14:paraId="032DB5F8" w14:textId="77777777">
        <w:tc>
          <w:tcPr>
            <w:tcW w:w="7128" w:type="dxa"/>
          </w:tcPr>
          <w:p w14:paraId="7379CC96" w14:textId="2587779E" w:rsidR="00A60E28" w:rsidRPr="00E04B87" w:rsidRDefault="00A60E28" w:rsidP="00A60E28">
            <w:pPr>
              <w:spacing w:before="60" w:after="60"/>
              <w:ind w:left="30"/>
              <w:rPr>
                <w:rFonts w:ascii="Arial" w:hAnsi="Arial" w:cs="Arial"/>
                <w:lang w:val="fr-CA"/>
              </w:rPr>
            </w:pPr>
            <w:r w:rsidRPr="00E04B87">
              <w:rPr>
                <w:rFonts w:ascii="Arial" w:hAnsi="Arial" w:cs="Arial"/>
                <w:lang w:val="fr-CA"/>
              </w:rPr>
              <w:t>Registre de présence</w:t>
            </w:r>
          </w:p>
        </w:tc>
        <w:tc>
          <w:tcPr>
            <w:tcW w:w="2610" w:type="dxa"/>
          </w:tcPr>
          <w:p w14:paraId="22AA87F0" w14:textId="67B57DA4" w:rsidR="00A60E28" w:rsidRPr="00E04B87" w:rsidRDefault="00A60E28" w:rsidP="00A60E28">
            <w:pPr>
              <w:spacing w:before="60" w:after="60"/>
              <w:rPr>
                <w:rFonts w:ascii="Arial" w:hAnsi="Arial" w:cs="Arial"/>
                <w:lang w:val="fr-CA"/>
              </w:rPr>
            </w:pPr>
            <w:r w:rsidRPr="00E04B87">
              <w:rPr>
                <w:rFonts w:ascii="Arial" w:hAnsi="Arial" w:cs="Arial"/>
                <w:lang w:val="fr-CA"/>
              </w:rPr>
              <w:t>2 ans après la cessation d’emploi de l’emplo</w:t>
            </w:r>
            <w:r w:rsidR="00924EA8" w:rsidRPr="00E04B87">
              <w:rPr>
                <w:rFonts w:ascii="Arial" w:hAnsi="Arial" w:cs="Arial"/>
                <w:lang w:val="fr-CA"/>
              </w:rPr>
              <w:t>y</w:t>
            </w:r>
            <w:r w:rsidRPr="00E04B87">
              <w:rPr>
                <w:rFonts w:ascii="Arial" w:hAnsi="Arial" w:cs="Arial"/>
                <w:lang w:val="fr-CA"/>
              </w:rPr>
              <w:t>é</w:t>
            </w:r>
          </w:p>
        </w:tc>
      </w:tr>
      <w:tr w:rsidR="00A60E28" w:rsidRPr="00E04B87" w14:paraId="5C4DEFB9" w14:textId="77777777">
        <w:tc>
          <w:tcPr>
            <w:tcW w:w="7128" w:type="dxa"/>
          </w:tcPr>
          <w:p w14:paraId="0BAA8BEA" w14:textId="5F090FD8" w:rsidR="00A60E28" w:rsidRPr="00E04B87" w:rsidRDefault="00A60E28" w:rsidP="00A60E28">
            <w:pPr>
              <w:spacing w:before="60" w:after="60"/>
              <w:ind w:left="30"/>
              <w:rPr>
                <w:rFonts w:ascii="Arial" w:hAnsi="Arial" w:cs="Arial"/>
                <w:lang w:val="fr-CA"/>
              </w:rPr>
            </w:pPr>
            <w:r w:rsidRPr="00E04B87">
              <w:rPr>
                <w:rFonts w:ascii="Arial" w:hAnsi="Arial" w:cs="Arial"/>
                <w:lang w:val="fr-CA"/>
              </w:rPr>
              <w:t xml:space="preserve">Information financière telle que l’historique des salaires, y compris les cotisations REER, </w:t>
            </w:r>
            <w:r w:rsidR="00924EA8" w:rsidRPr="00E04B87">
              <w:rPr>
                <w:rFonts w:ascii="Arial" w:hAnsi="Arial" w:cs="Arial"/>
                <w:lang w:val="fr-CA"/>
              </w:rPr>
              <w:t>les commissions</w:t>
            </w:r>
            <w:r w:rsidRPr="00E04B87">
              <w:rPr>
                <w:rFonts w:ascii="Arial" w:hAnsi="Arial" w:cs="Arial"/>
                <w:lang w:val="fr-CA"/>
              </w:rPr>
              <w:t xml:space="preserve"> et les primes</w:t>
            </w:r>
          </w:p>
        </w:tc>
        <w:tc>
          <w:tcPr>
            <w:tcW w:w="2610" w:type="dxa"/>
          </w:tcPr>
          <w:p w14:paraId="28C658EB" w14:textId="3862E23A" w:rsidR="00A60E28" w:rsidRPr="00E04B87" w:rsidRDefault="00A60E28" w:rsidP="00A60E28">
            <w:pPr>
              <w:spacing w:before="60" w:after="60"/>
              <w:rPr>
                <w:rFonts w:ascii="Arial" w:hAnsi="Arial" w:cs="Arial"/>
                <w:lang w:val="fr-CA"/>
              </w:rPr>
            </w:pPr>
            <w:r w:rsidRPr="00E04B87">
              <w:rPr>
                <w:rFonts w:ascii="Arial" w:hAnsi="Arial" w:cs="Arial"/>
                <w:lang w:val="fr-CA"/>
              </w:rPr>
              <w:t>2 ans après la cessation d’emploi de l’emplo</w:t>
            </w:r>
            <w:r w:rsidR="00924EA8" w:rsidRPr="00E04B87">
              <w:rPr>
                <w:rFonts w:ascii="Arial" w:hAnsi="Arial" w:cs="Arial"/>
                <w:lang w:val="fr-CA"/>
              </w:rPr>
              <w:t>y</w:t>
            </w:r>
            <w:r w:rsidRPr="00E04B87">
              <w:rPr>
                <w:rFonts w:ascii="Arial" w:hAnsi="Arial" w:cs="Arial"/>
                <w:lang w:val="fr-CA"/>
              </w:rPr>
              <w:t>é</w:t>
            </w:r>
          </w:p>
        </w:tc>
      </w:tr>
      <w:tr w:rsidR="00A60E28" w:rsidRPr="00E04B87" w14:paraId="166DC7DD" w14:textId="77777777">
        <w:tc>
          <w:tcPr>
            <w:tcW w:w="7128" w:type="dxa"/>
          </w:tcPr>
          <w:p w14:paraId="34F27E49" w14:textId="259B4911" w:rsidR="00A60E28" w:rsidRPr="00E04B87" w:rsidRDefault="00A60E28" w:rsidP="00A60E28">
            <w:pPr>
              <w:spacing w:before="60" w:after="60"/>
              <w:ind w:left="30"/>
              <w:rPr>
                <w:rFonts w:ascii="Arial" w:hAnsi="Arial" w:cs="Arial"/>
                <w:lang w:val="fr-CA"/>
              </w:rPr>
            </w:pPr>
            <w:r w:rsidRPr="00E04B87">
              <w:rPr>
                <w:rFonts w:ascii="Arial" w:hAnsi="Arial" w:cs="Arial"/>
                <w:lang w:val="fr-CA"/>
              </w:rPr>
              <w:t>Renseignements médicaux</w:t>
            </w:r>
          </w:p>
        </w:tc>
        <w:tc>
          <w:tcPr>
            <w:tcW w:w="2610" w:type="dxa"/>
          </w:tcPr>
          <w:p w14:paraId="55E3923B" w14:textId="083E98DB" w:rsidR="00A60E28" w:rsidRPr="00E04B87" w:rsidRDefault="00A60E28" w:rsidP="00A60E28">
            <w:pPr>
              <w:spacing w:before="60" w:after="60"/>
              <w:rPr>
                <w:rFonts w:ascii="Arial" w:hAnsi="Arial" w:cs="Arial"/>
                <w:lang w:val="fr-CA"/>
              </w:rPr>
            </w:pPr>
            <w:r w:rsidRPr="00E04B87">
              <w:rPr>
                <w:rFonts w:ascii="Arial" w:hAnsi="Arial" w:cs="Arial"/>
                <w:lang w:val="fr-CA"/>
              </w:rPr>
              <w:t>2 ans après la cessation d’emploi de l’emplo</w:t>
            </w:r>
            <w:r w:rsidR="00924EA8" w:rsidRPr="00E04B87">
              <w:rPr>
                <w:rFonts w:ascii="Arial" w:hAnsi="Arial" w:cs="Arial"/>
                <w:lang w:val="fr-CA"/>
              </w:rPr>
              <w:t>y</w:t>
            </w:r>
            <w:r w:rsidRPr="00E04B87">
              <w:rPr>
                <w:rFonts w:ascii="Arial" w:hAnsi="Arial" w:cs="Arial"/>
                <w:lang w:val="fr-CA"/>
              </w:rPr>
              <w:t>é</w:t>
            </w:r>
          </w:p>
        </w:tc>
      </w:tr>
      <w:tr w:rsidR="007A494E" w:rsidRPr="00E04B87" w14:paraId="4D673608" w14:textId="77777777">
        <w:tc>
          <w:tcPr>
            <w:tcW w:w="7128" w:type="dxa"/>
          </w:tcPr>
          <w:p w14:paraId="0C992861" w14:textId="75495FAC" w:rsidR="007A494E" w:rsidRPr="00E04B87" w:rsidRDefault="00A60E28" w:rsidP="007A494E">
            <w:pPr>
              <w:spacing w:before="60" w:after="60"/>
              <w:ind w:left="30"/>
              <w:rPr>
                <w:rFonts w:ascii="Arial" w:hAnsi="Arial" w:cs="Arial"/>
                <w:lang w:val="fr-CA"/>
              </w:rPr>
            </w:pPr>
            <w:r w:rsidRPr="00E04B87">
              <w:rPr>
                <w:rFonts w:ascii="Arial" w:hAnsi="Arial" w:cs="Arial"/>
                <w:lang w:val="fr-CA"/>
              </w:rPr>
              <w:t>Descriptions de postes</w:t>
            </w:r>
          </w:p>
        </w:tc>
        <w:tc>
          <w:tcPr>
            <w:tcW w:w="2610" w:type="dxa"/>
          </w:tcPr>
          <w:p w14:paraId="6AAEC277" w14:textId="5DA11778" w:rsidR="007A494E" w:rsidRPr="00E04B87" w:rsidRDefault="00A60E28" w:rsidP="007A494E">
            <w:pPr>
              <w:spacing w:before="60" w:after="60"/>
              <w:rPr>
                <w:rFonts w:ascii="Arial" w:hAnsi="Arial" w:cs="Arial"/>
                <w:lang w:val="fr-CA"/>
              </w:rPr>
            </w:pPr>
            <w:r w:rsidRPr="00E04B87">
              <w:rPr>
                <w:rFonts w:ascii="Arial" w:hAnsi="Arial" w:cs="Arial"/>
                <w:lang w:val="fr-CA"/>
              </w:rPr>
              <w:t>2 ans après la période visée</w:t>
            </w:r>
          </w:p>
        </w:tc>
      </w:tr>
      <w:tr w:rsidR="00A60E28" w:rsidRPr="00E04B87" w14:paraId="5DAF4C07" w14:textId="77777777">
        <w:tc>
          <w:tcPr>
            <w:tcW w:w="7128" w:type="dxa"/>
          </w:tcPr>
          <w:p w14:paraId="0B90B2D7" w14:textId="5E16F5CC" w:rsidR="00A60E28" w:rsidRPr="00E04B87" w:rsidRDefault="00A60E28" w:rsidP="00A60E28">
            <w:pPr>
              <w:spacing w:before="60" w:after="60"/>
              <w:ind w:left="30"/>
              <w:rPr>
                <w:rFonts w:ascii="Arial" w:hAnsi="Arial" w:cs="Arial"/>
                <w:lang w:val="fr-CA"/>
              </w:rPr>
            </w:pPr>
            <w:r w:rsidRPr="00E04B87">
              <w:rPr>
                <w:rFonts w:ascii="Arial" w:hAnsi="Arial" w:cs="Arial"/>
                <w:lang w:val="fr-CA"/>
              </w:rPr>
              <w:t>Évaluations de rendement</w:t>
            </w:r>
          </w:p>
        </w:tc>
        <w:tc>
          <w:tcPr>
            <w:tcW w:w="2610" w:type="dxa"/>
          </w:tcPr>
          <w:p w14:paraId="4929A517" w14:textId="3DE74940" w:rsidR="00A60E28" w:rsidRPr="00E04B87" w:rsidRDefault="00A60E28" w:rsidP="00A60E28">
            <w:pPr>
              <w:spacing w:before="60" w:after="60"/>
              <w:rPr>
                <w:rFonts w:ascii="Arial" w:hAnsi="Arial" w:cs="Arial"/>
                <w:lang w:val="fr-CA"/>
              </w:rPr>
            </w:pPr>
            <w:r w:rsidRPr="00E04B87">
              <w:rPr>
                <w:rFonts w:ascii="Arial" w:hAnsi="Arial" w:cs="Arial"/>
                <w:lang w:val="fr-CA"/>
              </w:rPr>
              <w:t>2 ans après la période visée</w:t>
            </w:r>
          </w:p>
        </w:tc>
      </w:tr>
      <w:tr w:rsidR="00A60E28" w:rsidRPr="00E04B87" w14:paraId="67A485B9" w14:textId="77777777">
        <w:tc>
          <w:tcPr>
            <w:tcW w:w="7128" w:type="dxa"/>
            <w:tcBorders>
              <w:bottom w:val="single" w:sz="4" w:space="0" w:color="B2B2B2" w:themeColor="background2" w:themeShade="BF"/>
            </w:tcBorders>
          </w:tcPr>
          <w:p w14:paraId="29049F3B" w14:textId="5A4B4E19" w:rsidR="00A60E28" w:rsidRPr="00E04B87" w:rsidRDefault="00FF66EB" w:rsidP="00FF66EB">
            <w:pPr>
              <w:spacing w:before="60" w:after="60"/>
              <w:ind w:left="30"/>
              <w:rPr>
                <w:rFonts w:ascii="Arial" w:hAnsi="Arial" w:cs="Arial"/>
                <w:lang w:val="fr-CA"/>
              </w:rPr>
            </w:pPr>
            <w:r w:rsidRPr="00E04B87">
              <w:rPr>
                <w:rFonts w:ascii="Arial" w:hAnsi="Arial" w:cs="Arial"/>
                <w:lang w:val="fr-CA"/>
              </w:rPr>
              <w:t xml:space="preserve">Demandes d’emploi, curriculum vitæ et correspondance </w:t>
            </w:r>
            <w:r w:rsidR="00B7261D">
              <w:rPr>
                <w:rFonts w:ascii="Arial" w:hAnsi="Arial" w:cs="Arial"/>
                <w:lang w:val="fr-CA"/>
              </w:rPr>
              <w:t>relativement aux</w:t>
            </w:r>
            <w:r w:rsidRPr="00E04B87">
              <w:rPr>
                <w:rFonts w:ascii="Arial" w:hAnsi="Arial" w:cs="Arial"/>
                <w:lang w:val="fr-CA"/>
              </w:rPr>
              <w:t xml:space="preserve"> personnes non engagées</w:t>
            </w:r>
          </w:p>
        </w:tc>
        <w:tc>
          <w:tcPr>
            <w:tcW w:w="2610" w:type="dxa"/>
            <w:tcBorders>
              <w:bottom w:val="single" w:sz="4" w:space="0" w:color="B2B2B2" w:themeColor="background2" w:themeShade="BF"/>
            </w:tcBorders>
          </w:tcPr>
          <w:p w14:paraId="315D697C" w14:textId="1A2FB9E2" w:rsidR="00A60E28" w:rsidRPr="00E04B87" w:rsidRDefault="00A60E28" w:rsidP="00A60E28">
            <w:pPr>
              <w:spacing w:before="60" w:after="60"/>
              <w:rPr>
                <w:rFonts w:ascii="Arial" w:hAnsi="Arial" w:cs="Arial"/>
                <w:lang w:val="fr-CA"/>
              </w:rPr>
            </w:pPr>
            <w:r w:rsidRPr="00E04B87">
              <w:rPr>
                <w:rFonts w:ascii="Arial" w:hAnsi="Arial" w:cs="Arial"/>
                <w:lang w:val="fr-CA"/>
              </w:rPr>
              <w:t>2 ans après la période visée</w:t>
            </w:r>
          </w:p>
        </w:tc>
      </w:tr>
      <w:tr w:rsidR="007A494E" w:rsidRPr="00E04B87" w14:paraId="129C13C6" w14:textId="77777777">
        <w:tc>
          <w:tcPr>
            <w:tcW w:w="9738" w:type="dxa"/>
            <w:gridSpan w:val="2"/>
            <w:shd w:val="clear" w:color="auto" w:fill="E6E6E6"/>
          </w:tcPr>
          <w:p w14:paraId="2DAAF595" w14:textId="58283BF8" w:rsidR="007A494E" w:rsidRPr="00E04B87" w:rsidRDefault="0009128E" w:rsidP="007A494E">
            <w:pPr>
              <w:keepNext/>
              <w:spacing w:before="60" w:after="60"/>
              <w:rPr>
                <w:rFonts w:ascii="Arial" w:hAnsi="Arial" w:cs="Arial"/>
                <w:b/>
                <w:lang w:val="fr-CA"/>
              </w:rPr>
            </w:pPr>
            <w:r w:rsidRPr="00E04B87">
              <w:rPr>
                <w:rFonts w:ascii="Arial" w:hAnsi="Arial" w:cs="Arial"/>
                <w:b/>
                <w:lang w:val="fr-CA"/>
              </w:rPr>
              <w:t>Documents financiers</w:t>
            </w:r>
          </w:p>
        </w:tc>
      </w:tr>
      <w:tr w:rsidR="007A494E" w:rsidRPr="00E04B87" w14:paraId="611E2CD7" w14:textId="77777777">
        <w:tc>
          <w:tcPr>
            <w:tcW w:w="7128" w:type="dxa"/>
          </w:tcPr>
          <w:p w14:paraId="08AF40B7" w14:textId="40EE9683" w:rsidR="007A494E" w:rsidRPr="00E04B87" w:rsidRDefault="0009128E" w:rsidP="0009128E">
            <w:pPr>
              <w:spacing w:before="60" w:after="60"/>
              <w:ind w:left="30"/>
              <w:rPr>
                <w:rFonts w:ascii="Arial" w:hAnsi="Arial" w:cs="Arial"/>
                <w:lang w:val="fr-CA"/>
              </w:rPr>
            </w:pPr>
            <w:r w:rsidRPr="00E04B87">
              <w:rPr>
                <w:rFonts w:ascii="Arial" w:hAnsi="Arial" w:cs="Arial"/>
                <w:lang w:val="fr-CA"/>
              </w:rPr>
              <w:t>Guides de fonctionnement, procédures et lignes directrices relatives aux contrôles internes</w:t>
            </w:r>
          </w:p>
        </w:tc>
        <w:tc>
          <w:tcPr>
            <w:tcW w:w="2610" w:type="dxa"/>
          </w:tcPr>
          <w:p w14:paraId="46525F48" w14:textId="2D50A578" w:rsidR="007A494E" w:rsidRPr="00E04B87" w:rsidRDefault="007C37F8" w:rsidP="007A494E">
            <w:pPr>
              <w:spacing w:before="60" w:after="60"/>
              <w:rPr>
                <w:rFonts w:ascii="Arial" w:hAnsi="Arial" w:cs="Arial"/>
                <w:lang w:val="fr-CA"/>
              </w:rPr>
            </w:pPr>
            <w:r w:rsidRPr="00E04B87">
              <w:rPr>
                <w:rFonts w:ascii="Arial" w:hAnsi="Arial" w:cs="Arial"/>
                <w:lang w:val="fr-CA"/>
              </w:rPr>
              <w:t>Permanente</w:t>
            </w:r>
          </w:p>
        </w:tc>
      </w:tr>
      <w:tr w:rsidR="007A494E" w:rsidRPr="00E04B87" w14:paraId="63A8A665" w14:textId="77777777">
        <w:tc>
          <w:tcPr>
            <w:tcW w:w="7128" w:type="dxa"/>
          </w:tcPr>
          <w:p w14:paraId="5DAB0C38" w14:textId="2C6323EE" w:rsidR="007A494E" w:rsidRPr="00E04B87" w:rsidRDefault="0009128E" w:rsidP="009A2080">
            <w:pPr>
              <w:spacing w:before="60" w:after="60"/>
              <w:ind w:left="30"/>
              <w:rPr>
                <w:rFonts w:ascii="Arial" w:hAnsi="Arial" w:cs="Arial"/>
                <w:lang w:val="fr-CA"/>
              </w:rPr>
            </w:pPr>
            <w:r w:rsidRPr="00E04B87">
              <w:rPr>
                <w:rFonts w:ascii="Arial" w:hAnsi="Arial" w:cs="Arial"/>
                <w:lang w:val="fr-CA"/>
              </w:rPr>
              <w:t>États financiers annuels signés et rapport de l’auditeur indépendant signé</w:t>
            </w:r>
            <w:r w:rsidR="009A2080" w:rsidRPr="00E04B87">
              <w:rPr>
                <w:rFonts w:ascii="Arial" w:hAnsi="Arial" w:cs="Arial"/>
                <w:lang w:val="fr-CA"/>
              </w:rPr>
              <w:t xml:space="preserve"> s’y rattachant</w:t>
            </w:r>
          </w:p>
        </w:tc>
        <w:tc>
          <w:tcPr>
            <w:tcW w:w="2610" w:type="dxa"/>
          </w:tcPr>
          <w:p w14:paraId="0600B190" w14:textId="3DA1F515" w:rsidR="007A494E" w:rsidRPr="00E04B87" w:rsidRDefault="007C37F8" w:rsidP="007A494E">
            <w:pPr>
              <w:spacing w:before="60" w:after="60"/>
              <w:rPr>
                <w:rFonts w:ascii="Arial" w:hAnsi="Arial" w:cs="Arial"/>
                <w:lang w:val="fr-CA"/>
              </w:rPr>
            </w:pPr>
            <w:r w:rsidRPr="00E04B87">
              <w:rPr>
                <w:rFonts w:ascii="Arial" w:hAnsi="Arial" w:cs="Arial"/>
                <w:lang w:val="fr-CA"/>
              </w:rPr>
              <w:t>Permanente</w:t>
            </w:r>
          </w:p>
        </w:tc>
      </w:tr>
      <w:tr w:rsidR="007A494E" w:rsidRPr="00E04B87" w14:paraId="212C1446" w14:textId="77777777">
        <w:tc>
          <w:tcPr>
            <w:tcW w:w="7128" w:type="dxa"/>
          </w:tcPr>
          <w:p w14:paraId="5576DC3B" w14:textId="543E7786" w:rsidR="009A2080" w:rsidRPr="00E04B87" w:rsidRDefault="009A2080" w:rsidP="007A494E">
            <w:pPr>
              <w:spacing w:before="60" w:after="60"/>
              <w:ind w:left="30"/>
              <w:rPr>
                <w:rFonts w:ascii="Arial" w:hAnsi="Arial" w:cs="Arial"/>
                <w:lang w:val="fr-CA"/>
              </w:rPr>
            </w:pPr>
            <w:r w:rsidRPr="00E04B87">
              <w:rPr>
                <w:rFonts w:ascii="Arial" w:hAnsi="Arial" w:cs="Arial"/>
                <w:lang w:val="fr-CA"/>
              </w:rPr>
              <w:t xml:space="preserve">Rapports internes, </w:t>
            </w:r>
            <w:r w:rsidR="001C3155" w:rsidRPr="00E04B87">
              <w:rPr>
                <w:rFonts w:ascii="Arial" w:hAnsi="Arial" w:cs="Arial"/>
                <w:lang w:val="fr-CA"/>
              </w:rPr>
              <w:t>notamment</w:t>
            </w:r>
            <w:r w:rsidRPr="00E04B87">
              <w:rPr>
                <w:rFonts w:ascii="Arial" w:hAnsi="Arial" w:cs="Arial"/>
                <w:lang w:val="fr-CA"/>
              </w:rPr>
              <w:t> :</w:t>
            </w:r>
          </w:p>
          <w:p w14:paraId="3A63B5C8" w14:textId="2D109444" w:rsidR="007A494E" w:rsidRPr="00E04B87" w:rsidRDefault="009A2080" w:rsidP="001760D7">
            <w:pPr>
              <w:pStyle w:val="ListParagraph"/>
              <w:spacing w:before="60" w:after="60"/>
              <w:rPr>
                <w:lang w:val="fr-CA"/>
              </w:rPr>
            </w:pPr>
            <w:proofErr w:type="gramStart"/>
            <w:r w:rsidRPr="00E04B87">
              <w:rPr>
                <w:lang w:val="fr-CA"/>
              </w:rPr>
              <w:t>études</w:t>
            </w:r>
            <w:proofErr w:type="gramEnd"/>
          </w:p>
          <w:p w14:paraId="1E419333" w14:textId="78CE111B" w:rsidR="007A494E" w:rsidRPr="00E04B87" w:rsidRDefault="009A2080" w:rsidP="001760D7">
            <w:pPr>
              <w:pStyle w:val="ListParagraph"/>
              <w:spacing w:before="60" w:after="60"/>
              <w:rPr>
                <w:lang w:val="fr-CA"/>
              </w:rPr>
            </w:pPr>
            <w:proofErr w:type="gramStart"/>
            <w:r w:rsidRPr="00E04B87">
              <w:rPr>
                <w:lang w:val="fr-CA"/>
              </w:rPr>
              <w:t>rapports</w:t>
            </w:r>
            <w:proofErr w:type="gramEnd"/>
            <w:r w:rsidRPr="00E04B87">
              <w:rPr>
                <w:lang w:val="fr-CA"/>
              </w:rPr>
              <w:t xml:space="preserve"> spéciaux</w:t>
            </w:r>
          </w:p>
          <w:p w14:paraId="54B8C153" w14:textId="44260C22" w:rsidR="007A494E" w:rsidRPr="00E04B87" w:rsidRDefault="009A2080" w:rsidP="001760D7">
            <w:pPr>
              <w:pStyle w:val="ListParagraph"/>
              <w:spacing w:before="60" w:after="60"/>
              <w:rPr>
                <w:lang w:val="fr-CA"/>
              </w:rPr>
            </w:pPr>
            <w:proofErr w:type="gramStart"/>
            <w:r w:rsidRPr="00E04B87">
              <w:rPr>
                <w:lang w:val="fr-CA"/>
              </w:rPr>
              <w:t>rapports</w:t>
            </w:r>
            <w:proofErr w:type="gramEnd"/>
            <w:r w:rsidRPr="00E04B87">
              <w:rPr>
                <w:lang w:val="fr-CA"/>
              </w:rPr>
              <w:t xml:space="preserve"> d’audit interne</w:t>
            </w:r>
          </w:p>
        </w:tc>
        <w:tc>
          <w:tcPr>
            <w:tcW w:w="2610" w:type="dxa"/>
          </w:tcPr>
          <w:p w14:paraId="4EDD7707" w14:textId="592E739B" w:rsidR="007A494E" w:rsidRPr="00E04B87" w:rsidRDefault="007A494E" w:rsidP="007A494E">
            <w:pPr>
              <w:spacing w:before="60" w:after="60"/>
              <w:rPr>
                <w:rFonts w:ascii="Arial" w:hAnsi="Arial" w:cs="Arial"/>
                <w:lang w:val="fr-CA"/>
              </w:rPr>
            </w:pPr>
            <w:r w:rsidRPr="00E04B87">
              <w:rPr>
                <w:rFonts w:ascii="Arial" w:hAnsi="Arial" w:cs="Arial"/>
                <w:lang w:val="fr-CA"/>
              </w:rPr>
              <w:t xml:space="preserve">10 </w:t>
            </w:r>
            <w:r w:rsidR="00A60E28" w:rsidRPr="00E04B87">
              <w:rPr>
                <w:rFonts w:ascii="Arial" w:hAnsi="Arial" w:cs="Arial"/>
                <w:lang w:val="fr-CA"/>
              </w:rPr>
              <w:t>ans</w:t>
            </w:r>
          </w:p>
        </w:tc>
      </w:tr>
      <w:tr w:rsidR="007A494E" w:rsidRPr="00E04B87" w14:paraId="4CE93130" w14:textId="77777777">
        <w:tc>
          <w:tcPr>
            <w:tcW w:w="7128" w:type="dxa"/>
          </w:tcPr>
          <w:p w14:paraId="39A8DB0B" w14:textId="349264E0" w:rsidR="00B2221A" w:rsidRPr="00E04B87" w:rsidRDefault="00B2221A" w:rsidP="007A494E">
            <w:pPr>
              <w:spacing w:before="60" w:after="60"/>
              <w:ind w:left="30"/>
              <w:rPr>
                <w:rFonts w:ascii="Arial" w:hAnsi="Arial" w:cs="Arial"/>
                <w:lang w:val="fr-CA"/>
              </w:rPr>
            </w:pPr>
            <w:r w:rsidRPr="00E04B87">
              <w:rPr>
                <w:rFonts w:ascii="Arial" w:hAnsi="Arial" w:cs="Arial"/>
                <w:lang w:val="fr-CA"/>
              </w:rPr>
              <w:t xml:space="preserve">Documentation comptable, </w:t>
            </w:r>
            <w:r w:rsidR="001C3155" w:rsidRPr="00E04B87">
              <w:rPr>
                <w:rFonts w:ascii="Arial" w:hAnsi="Arial" w:cs="Arial"/>
                <w:lang w:val="fr-CA"/>
              </w:rPr>
              <w:t>notamment</w:t>
            </w:r>
            <w:r w:rsidRPr="00E04B87">
              <w:rPr>
                <w:rFonts w:ascii="Arial" w:hAnsi="Arial" w:cs="Arial"/>
                <w:lang w:val="fr-CA"/>
              </w:rPr>
              <w:t> :</w:t>
            </w:r>
          </w:p>
          <w:p w14:paraId="696A0E26" w14:textId="6110A398" w:rsidR="00B2221A" w:rsidRPr="00E04B87" w:rsidRDefault="00B2221A" w:rsidP="001760D7">
            <w:pPr>
              <w:pStyle w:val="ListParagraph"/>
              <w:spacing w:before="60" w:after="60"/>
              <w:rPr>
                <w:lang w:val="fr-CA"/>
              </w:rPr>
            </w:pPr>
            <w:proofErr w:type="gramStart"/>
            <w:r w:rsidRPr="00E04B87">
              <w:rPr>
                <w:lang w:val="fr-CA"/>
              </w:rPr>
              <w:t>grand</w:t>
            </w:r>
            <w:proofErr w:type="gramEnd"/>
            <w:r w:rsidRPr="00E04B87">
              <w:rPr>
                <w:lang w:val="fr-CA"/>
              </w:rPr>
              <w:t xml:space="preserve"> livre général, journal général, registres financiers et documentation justificative</w:t>
            </w:r>
          </w:p>
          <w:p w14:paraId="661BB9F3" w14:textId="38BFA4D2" w:rsidR="007A494E" w:rsidRPr="00E04B87" w:rsidRDefault="00B2221A" w:rsidP="001760D7">
            <w:pPr>
              <w:pStyle w:val="ListParagraph"/>
              <w:spacing w:before="60" w:after="60"/>
              <w:rPr>
                <w:lang w:val="fr-CA"/>
              </w:rPr>
            </w:pPr>
            <w:proofErr w:type="gramStart"/>
            <w:r w:rsidRPr="00E04B87">
              <w:rPr>
                <w:lang w:val="fr-CA"/>
              </w:rPr>
              <w:t>états</w:t>
            </w:r>
            <w:proofErr w:type="gramEnd"/>
            <w:r w:rsidRPr="00E04B87">
              <w:rPr>
                <w:lang w:val="fr-CA"/>
              </w:rPr>
              <w:t xml:space="preserve"> financiers mensuels et trimestriels</w:t>
            </w:r>
          </w:p>
          <w:p w14:paraId="50B99F08" w14:textId="682C938B" w:rsidR="007A494E" w:rsidRPr="00E04B87" w:rsidRDefault="00B2221A" w:rsidP="001760D7">
            <w:pPr>
              <w:pStyle w:val="ListParagraph"/>
              <w:spacing w:before="60" w:after="60"/>
              <w:rPr>
                <w:lang w:val="fr-CA"/>
              </w:rPr>
            </w:pPr>
            <w:proofErr w:type="gramStart"/>
            <w:r w:rsidRPr="00E04B87">
              <w:rPr>
                <w:lang w:val="fr-CA"/>
              </w:rPr>
              <w:t>rapports</w:t>
            </w:r>
            <w:proofErr w:type="gramEnd"/>
            <w:r w:rsidRPr="00E04B87">
              <w:rPr>
                <w:lang w:val="fr-CA"/>
              </w:rPr>
              <w:t xml:space="preserve"> de la direction mensuels et trimestriels</w:t>
            </w:r>
          </w:p>
          <w:p w14:paraId="7C16C421" w14:textId="5179B50C" w:rsidR="007A494E" w:rsidRPr="00E04B87" w:rsidRDefault="00B2221A" w:rsidP="001760D7">
            <w:pPr>
              <w:pStyle w:val="ListParagraph"/>
              <w:spacing w:before="60" w:after="60"/>
              <w:rPr>
                <w:lang w:val="fr-CA"/>
              </w:rPr>
            </w:pPr>
            <w:proofErr w:type="gramStart"/>
            <w:r w:rsidRPr="00E04B87">
              <w:rPr>
                <w:lang w:val="fr-CA"/>
              </w:rPr>
              <w:t>documents</w:t>
            </w:r>
            <w:proofErr w:type="gramEnd"/>
            <w:r w:rsidRPr="00E04B87">
              <w:rPr>
                <w:lang w:val="fr-CA"/>
              </w:rPr>
              <w:t xml:space="preserve"> de clôture financière et de communication de l’information financière mensuels, trimestriels et annuels </w:t>
            </w:r>
          </w:p>
          <w:p w14:paraId="10FC8FDD" w14:textId="74F59D65" w:rsidR="007A494E" w:rsidRPr="00E04B87" w:rsidRDefault="00B2221A" w:rsidP="001760D7">
            <w:pPr>
              <w:pStyle w:val="ListParagraph"/>
              <w:spacing w:before="60" w:after="60"/>
              <w:rPr>
                <w:lang w:val="fr-CA"/>
              </w:rPr>
            </w:pPr>
            <w:proofErr w:type="gramStart"/>
            <w:r w:rsidRPr="00E04B87">
              <w:rPr>
                <w:lang w:val="fr-CA"/>
              </w:rPr>
              <w:t>relevés</w:t>
            </w:r>
            <w:proofErr w:type="gramEnd"/>
            <w:r w:rsidRPr="00E04B87">
              <w:rPr>
                <w:lang w:val="fr-CA"/>
              </w:rPr>
              <w:t xml:space="preserve"> de comptes d’institutions financières et documents de rapprochement </w:t>
            </w:r>
          </w:p>
          <w:p w14:paraId="6C26B987" w14:textId="2CDB3DF5" w:rsidR="00B2221A" w:rsidRPr="00E04B87" w:rsidRDefault="00B2221A" w:rsidP="001760D7">
            <w:pPr>
              <w:pStyle w:val="ListParagraph"/>
              <w:spacing w:before="60" w:after="60"/>
              <w:rPr>
                <w:lang w:val="fr-CA"/>
              </w:rPr>
            </w:pPr>
            <w:proofErr w:type="gramStart"/>
            <w:r w:rsidRPr="00E04B87">
              <w:rPr>
                <w:lang w:val="fr-CA"/>
              </w:rPr>
              <w:t>chèques</w:t>
            </w:r>
            <w:proofErr w:type="gramEnd"/>
            <w:r w:rsidRPr="00E04B87">
              <w:rPr>
                <w:lang w:val="fr-CA"/>
              </w:rPr>
              <w:t xml:space="preserve"> annulés et rubans de caisse enregistreuse</w:t>
            </w:r>
          </w:p>
          <w:p w14:paraId="4427D2C6" w14:textId="73CF92BB" w:rsidR="007A494E" w:rsidRPr="00E04B87" w:rsidRDefault="00B2221A" w:rsidP="001760D7">
            <w:pPr>
              <w:pStyle w:val="ListParagraph"/>
              <w:spacing w:before="60" w:after="60"/>
              <w:rPr>
                <w:lang w:val="fr-CA"/>
              </w:rPr>
            </w:pPr>
            <w:proofErr w:type="gramStart"/>
            <w:r w:rsidRPr="00E04B87">
              <w:rPr>
                <w:lang w:val="fr-CA"/>
              </w:rPr>
              <w:t>factures</w:t>
            </w:r>
            <w:proofErr w:type="gramEnd"/>
          </w:p>
          <w:p w14:paraId="46CDC654" w14:textId="204D9683" w:rsidR="007A494E" w:rsidRPr="00E04B87" w:rsidRDefault="00B2221A" w:rsidP="001760D7">
            <w:pPr>
              <w:pStyle w:val="ListParagraph"/>
              <w:spacing w:before="60" w:after="60"/>
              <w:rPr>
                <w:lang w:val="fr-CA"/>
              </w:rPr>
            </w:pPr>
            <w:proofErr w:type="gramStart"/>
            <w:r w:rsidRPr="00E04B87">
              <w:rPr>
                <w:lang w:val="fr-CA"/>
              </w:rPr>
              <w:t>budgets</w:t>
            </w:r>
            <w:proofErr w:type="gramEnd"/>
            <w:r w:rsidRPr="00E04B87">
              <w:rPr>
                <w:lang w:val="fr-CA"/>
              </w:rPr>
              <w:t xml:space="preserve"> annuels</w:t>
            </w:r>
          </w:p>
          <w:p w14:paraId="76240153" w14:textId="7A81C1AA" w:rsidR="007A494E" w:rsidRPr="00E04B87" w:rsidRDefault="00B2221A" w:rsidP="00B2221A">
            <w:pPr>
              <w:pStyle w:val="ListParagraph"/>
              <w:spacing w:before="60" w:after="60"/>
              <w:rPr>
                <w:lang w:val="fr-CA"/>
              </w:rPr>
            </w:pPr>
            <w:proofErr w:type="gramStart"/>
            <w:r w:rsidRPr="00E04B87">
              <w:rPr>
                <w:lang w:val="fr-CA"/>
              </w:rPr>
              <w:t>plan</w:t>
            </w:r>
            <w:r w:rsidR="00B016E8" w:rsidRPr="00E04B87">
              <w:rPr>
                <w:lang w:val="fr-CA"/>
              </w:rPr>
              <w:t>s</w:t>
            </w:r>
            <w:proofErr w:type="gramEnd"/>
            <w:r w:rsidRPr="00E04B87">
              <w:rPr>
                <w:lang w:val="fr-CA"/>
              </w:rPr>
              <w:t xml:space="preserve"> financiers pluriannuels</w:t>
            </w:r>
          </w:p>
        </w:tc>
        <w:tc>
          <w:tcPr>
            <w:tcW w:w="2610" w:type="dxa"/>
          </w:tcPr>
          <w:p w14:paraId="5E53B8E6" w14:textId="725DC542" w:rsidR="007A494E" w:rsidRPr="00E04B87" w:rsidRDefault="007A494E" w:rsidP="007A494E">
            <w:pPr>
              <w:spacing w:before="60" w:after="60"/>
              <w:rPr>
                <w:rFonts w:ascii="Arial" w:hAnsi="Arial" w:cs="Arial"/>
                <w:lang w:val="fr-CA"/>
              </w:rPr>
            </w:pPr>
            <w:r w:rsidRPr="00E04B87">
              <w:rPr>
                <w:rFonts w:ascii="Arial" w:hAnsi="Arial" w:cs="Arial"/>
                <w:lang w:val="fr-CA"/>
              </w:rPr>
              <w:t xml:space="preserve">8 </w:t>
            </w:r>
            <w:r w:rsidR="00A60E28" w:rsidRPr="00E04B87">
              <w:rPr>
                <w:rFonts w:ascii="Arial" w:hAnsi="Arial" w:cs="Arial"/>
                <w:lang w:val="fr-CA"/>
              </w:rPr>
              <w:t>ans</w:t>
            </w:r>
          </w:p>
        </w:tc>
      </w:tr>
      <w:tr w:rsidR="007A494E" w:rsidRPr="00E04B87" w14:paraId="0C783FCB" w14:textId="77777777">
        <w:tc>
          <w:tcPr>
            <w:tcW w:w="7128" w:type="dxa"/>
          </w:tcPr>
          <w:p w14:paraId="74658BCC" w14:textId="7265CB94" w:rsidR="001C3155" w:rsidRPr="00E04B87" w:rsidRDefault="001C3155" w:rsidP="007A494E">
            <w:pPr>
              <w:spacing w:before="60" w:after="60"/>
              <w:ind w:left="30"/>
              <w:rPr>
                <w:rFonts w:ascii="Arial" w:hAnsi="Arial" w:cs="Arial"/>
                <w:lang w:val="fr-CA"/>
              </w:rPr>
            </w:pPr>
            <w:r w:rsidRPr="00E04B87">
              <w:rPr>
                <w:rFonts w:ascii="Arial" w:hAnsi="Arial" w:cs="Arial"/>
                <w:lang w:val="fr-CA"/>
              </w:rPr>
              <w:t xml:space="preserve">Documentation relative à la gestion </w:t>
            </w:r>
            <w:r w:rsidR="00B016E8" w:rsidRPr="00E04B87">
              <w:rPr>
                <w:rFonts w:ascii="Arial" w:hAnsi="Arial" w:cs="Arial"/>
                <w:lang w:val="fr-CA"/>
              </w:rPr>
              <w:t>des immobilisations corporelles</w:t>
            </w:r>
            <w:r w:rsidRPr="00E04B87">
              <w:rPr>
                <w:rFonts w:ascii="Arial" w:hAnsi="Arial" w:cs="Arial"/>
                <w:lang w:val="fr-CA"/>
              </w:rPr>
              <w:t xml:space="preserve">, </w:t>
            </w:r>
            <w:r w:rsidR="00924EA8" w:rsidRPr="00E04B87">
              <w:rPr>
                <w:rFonts w:ascii="Arial" w:hAnsi="Arial" w:cs="Arial"/>
                <w:lang w:val="fr-CA"/>
              </w:rPr>
              <w:t>notamment</w:t>
            </w:r>
            <w:r w:rsidRPr="00E04B87">
              <w:rPr>
                <w:rFonts w:ascii="Arial" w:hAnsi="Arial" w:cs="Arial"/>
                <w:lang w:val="fr-CA"/>
              </w:rPr>
              <w:t> :</w:t>
            </w:r>
          </w:p>
          <w:p w14:paraId="67850BA3" w14:textId="419164D2" w:rsidR="001C3155" w:rsidRPr="00E04B87" w:rsidRDefault="001C3155" w:rsidP="001760D7">
            <w:pPr>
              <w:pStyle w:val="ListParagraph"/>
              <w:spacing w:before="60" w:after="60"/>
              <w:rPr>
                <w:lang w:val="fr-CA"/>
              </w:rPr>
            </w:pPr>
            <w:proofErr w:type="gramStart"/>
            <w:r w:rsidRPr="00E04B87">
              <w:rPr>
                <w:lang w:val="fr-CA"/>
              </w:rPr>
              <w:t>registre</w:t>
            </w:r>
            <w:proofErr w:type="gramEnd"/>
            <w:r w:rsidRPr="00E04B87">
              <w:rPr>
                <w:lang w:val="fr-CA"/>
              </w:rPr>
              <w:t xml:space="preserve"> des immobilisations corporelles</w:t>
            </w:r>
          </w:p>
          <w:p w14:paraId="046BA2CF" w14:textId="6A270933" w:rsidR="007A494E" w:rsidRPr="00E04B87" w:rsidRDefault="001C3155" w:rsidP="001760D7">
            <w:pPr>
              <w:pStyle w:val="ListParagraph"/>
              <w:spacing w:before="60" w:after="60"/>
              <w:rPr>
                <w:lang w:val="fr-CA"/>
              </w:rPr>
            </w:pPr>
            <w:proofErr w:type="gramStart"/>
            <w:r w:rsidRPr="00E04B87">
              <w:rPr>
                <w:lang w:val="fr-CA"/>
              </w:rPr>
              <w:t>rapports</w:t>
            </w:r>
            <w:proofErr w:type="gramEnd"/>
            <w:r w:rsidRPr="00E04B87">
              <w:rPr>
                <w:lang w:val="fr-CA"/>
              </w:rPr>
              <w:t xml:space="preserve"> sur le fonds de réserve</w:t>
            </w:r>
          </w:p>
          <w:p w14:paraId="305187A9" w14:textId="0BF454BE" w:rsidR="007A494E" w:rsidRPr="00E04B87" w:rsidRDefault="001C3155" w:rsidP="001760D7">
            <w:pPr>
              <w:pStyle w:val="ListParagraph"/>
              <w:spacing w:before="60" w:after="60"/>
              <w:rPr>
                <w:lang w:val="fr-CA"/>
              </w:rPr>
            </w:pPr>
            <w:proofErr w:type="gramStart"/>
            <w:r w:rsidRPr="00E04B87">
              <w:rPr>
                <w:lang w:val="fr-CA"/>
              </w:rPr>
              <w:t>planification</w:t>
            </w:r>
            <w:proofErr w:type="gramEnd"/>
            <w:r w:rsidRPr="00E04B87">
              <w:rPr>
                <w:lang w:val="fr-CA"/>
              </w:rPr>
              <w:t xml:space="preserve"> du cycle de vie</w:t>
            </w:r>
          </w:p>
          <w:p w14:paraId="42CE3B88" w14:textId="085026B9" w:rsidR="007A494E" w:rsidRPr="00E04B87" w:rsidRDefault="001C3155" w:rsidP="001760D7">
            <w:pPr>
              <w:pStyle w:val="ListParagraph"/>
              <w:spacing w:before="60" w:after="60"/>
              <w:rPr>
                <w:lang w:val="fr-CA"/>
              </w:rPr>
            </w:pPr>
            <w:proofErr w:type="gramStart"/>
            <w:r w:rsidRPr="00E04B87">
              <w:rPr>
                <w:lang w:val="fr-CA"/>
              </w:rPr>
              <w:t>budget</w:t>
            </w:r>
            <w:proofErr w:type="gramEnd"/>
            <w:r w:rsidRPr="00E04B87">
              <w:rPr>
                <w:lang w:val="fr-CA"/>
              </w:rPr>
              <w:t xml:space="preserve"> de dépenses en immobilisations corporelles</w:t>
            </w:r>
          </w:p>
          <w:p w14:paraId="1E21332D" w14:textId="67DCA9F7" w:rsidR="007A494E" w:rsidRPr="00E04B87" w:rsidRDefault="001C3155" w:rsidP="001C3155">
            <w:pPr>
              <w:pStyle w:val="ListParagraph"/>
              <w:spacing w:before="60" w:after="60"/>
              <w:rPr>
                <w:lang w:val="fr-CA"/>
              </w:rPr>
            </w:pPr>
            <w:proofErr w:type="gramStart"/>
            <w:r w:rsidRPr="00E04B87">
              <w:rPr>
                <w:lang w:val="fr-CA"/>
              </w:rPr>
              <w:t>dispositions</w:t>
            </w:r>
            <w:proofErr w:type="gramEnd"/>
            <w:r w:rsidRPr="00E04B87">
              <w:rPr>
                <w:lang w:val="fr-CA"/>
              </w:rPr>
              <w:t xml:space="preserve"> de contrats et d’appels d’offres</w:t>
            </w:r>
          </w:p>
        </w:tc>
        <w:tc>
          <w:tcPr>
            <w:tcW w:w="2610" w:type="dxa"/>
          </w:tcPr>
          <w:p w14:paraId="7AB4FDC4" w14:textId="4F6CAF4D" w:rsidR="007A494E" w:rsidRPr="00E04B87" w:rsidRDefault="001C3155" w:rsidP="007A494E">
            <w:pPr>
              <w:spacing w:before="60" w:after="60"/>
              <w:rPr>
                <w:rFonts w:ascii="Arial" w:hAnsi="Arial" w:cs="Arial"/>
                <w:lang w:val="fr-CA"/>
              </w:rPr>
            </w:pPr>
            <w:r w:rsidRPr="00E04B87">
              <w:rPr>
                <w:rFonts w:ascii="Arial" w:hAnsi="Arial" w:cs="Arial"/>
                <w:lang w:val="fr-CA"/>
              </w:rPr>
              <w:t>8 ans après l’achèvement du projet ou de l’utilisation de l’immobilisation</w:t>
            </w:r>
          </w:p>
        </w:tc>
      </w:tr>
      <w:tr w:rsidR="007A494E" w:rsidRPr="00E04B87" w14:paraId="46FB52EF" w14:textId="77777777">
        <w:tc>
          <w:tcPr>
            <w:tcW w:w="7128" w:type="dxa"/>
            <w:tcBorders>
              <w:bottom w:val="single" w:sz="4" w:space="0" w:color="B2B2B2" w:themeColor="background2" w:themeShade="BF"/>
            </w:tcBorders>
          </w:tcPr>
          <w:p w14:paraId="218BED4D" w14:textId="519090B5" w:rsidR="00BE3B87" w:rsidRPr="00E04B87" w:rsidRDefault="00BE3B87" w:rsidP="007A494E">
            <w:pPr>
              <w:spacing w:before="60" w:after="60"/>
              <w:ind w:left="30"/>
              <w:rPr>
                <w:rFonts w:ascii="Arial" w:hAnsi="Arial" w:cs="Arial"/>
                <w:lang w:val="fr-CA"/>
              </w:rPr>
            </w:pPr>
            <w:r w:rsidRPr="00E04B87">
              <w:rPr>
                <w:rFonts w:ascii="Arial" w:hAnsi="Arial" w:cs="Arial"/>
                <w:lang w:val="fr-CA"/>
              </w:rPr>
              <w:t>S’il y a lieu, documentation relative aux impôts fonciers, notamment :</w:t>
            </w:r>
          </w:p>
          <w:p w14:paraId="1D84117A" w14:textId="506E9DE9" w:rsidR="00BE3B87" w:rsidRPr="00E04B87" w:rsidRDefault="00BE3B87" w:rsidP="001760D7">
            <w:pPr>
              <w:pStyle w:val="ListParagraph"/>
              <w:spacing w:before="60" w:after="60"/>
              <w:rPr>
                <w:lang w:val="fr-CA"/>
              </w:rPr>
            </w:pPr>
            <w:proofErr w:type="gramStart"/>
            <w:r w:rsidRPr="00E04B87">
              <w:rPr>
                <w:lang w:val="fr-CA"/>
              </w:rPr>
              <w:t>documents</w:t>
            </w:r>
            <w:proofErr w:type="gramEnd"/>
            <w:r w:rsidRPr="00E04B87">
              <w:rPr>
                <w:lang w:val="fr-CA"/>
              </w:rPr>
              <w:t xml:space="preserve"> de travail relatifs aux impôts fonciers</w:t>
            </w:r>
          </w:p>
          <w:p w14:paraId="1F87DE77" w14:textId="6EDC67F2" w:rsidR="007A494E" w:rsidRPr="00E04B87" w:rsidRDefault="00BD217F" w:rsidP="001760D7">
            <w:pPr>
              <w:pStyle w:val="ListParagraph"/>
              <w:spacing w:before="60" w:after="60"/>
              <w:rPr>
                <w:lang w:val="fr-CA"/>
              </w:rPr>
            </w:pPr>
            <w:proofErr w:type="gramStart"/>
            <w:r w:rsidRPr="00E04B87">
              <w:rPr>
                <w:lang w:val="fr-CA"/>
              </w:rPr>
              <w:t>rôle</w:t>
            </w:r>
            <w:proofErr w:type="gramEnd"/>
            <w:r w:rsidRPr="00E04B87">
              <w:rPr>
                <w:lang w:val="fr-CA"/>
              </w:rPr>
              <w:t xml:space="preserve"> d’imposition</w:t>
            </w:r>
          </w:p>
          <w:p w14:paraId="3A6E43FD" w14:textId="275E2A6D" w:rsidR="007A494E" w:rsidRPr="00E04B87" w:rsidRDefault="00BD217F" w:rsidP="001760D7">
            <w:pPr>
              <w:pStyle w:val="ListParagraph"/>
              <w:spacing w:before="60" w:after="60"/>
              <w:rPr>
                <w:lang w:val="fr-CA"/>
              </w:rPr>
            </w:pPr>
            <w:proofErr w:type="gramStart"/>
            <w:r w:rsidRPr="00E04B87">
              <w:rPr>
                <w:lang w:val="fr-CA"/>
              </w:rPr>
              <w:t>déclarations</w:t>
            </w:r>
            <w:proofErr w:type="gramEnd"/>
            <w:r w:rsidRPr="00E04B87">
              <w:rPr>
                <w:lang w:val="fr-CA"/>
              </w:rPr>
              <w:t xml:space="preserve"> d’impôts</w:t>
            </w:r>
            <w:r w:rsidR="007A494E" w:rsidRPr="00E04B87">
              <w:rPr>
                <w:lang w:val="fr-CA"/>
              </w:rPr>
              <w:t xml:space="preserve"> </w:t>
            </w:r>
          </w:p>
        </w:tc>
        <w:tc>
          <w:tcPr>
            <w:tcW w:w="2610" w:type="dxa"/>
            <w:tcBorders>
              <w:bottom w:val="single" w:sz="4" w:space="0" w:color="B2B2B2" w:themeColor="background2" w:themeShade="BF"/>
            </w:tcBorders>
          </w:tcPr>
          <w:p w14:paraId="333302B3" w14:textId="5323A521" w:rsidR="007A494E" w:rsidRPr="00E04B87" w:rsidRDefault="007A494E" w:rsidP="007A494E">
            <w:pPr>
              <w:spacing w:before="60" w:after="60"/>
              <w:rPr>
                <w:rFonts w:ascii="Arial" w:hAnsi="Arial" w:cs="Arial"/>
                <w:lang w:val="fr-CA"/>
              </w:rPr>
            </w:pPr>
            <w:r w:rsidRPr="00E04B87">
              <w:rPr>
                <w:rFonts w:ascii="Arial" w:hAnsi="Arial" w:cs="Arial"/>
                <w:lang w:val="fr-CA"/>
              </w:rPr>
              <w:t xml:space="preserve">8 </w:t>
            </w:r>
            <w:r w:rsidR="001C3155" w:rsidRPr="00E04B87">
              <w:rPr>
                <w:rFonts w:ascii="Arial" w:hAnsi="Arial" w:cs="Arial"/>
                <w:lang w:val="fr-CA"/>
              </w:rPr>
              <w:t>ans</w:t>
            </w:r>
          </w:p>
        </w:tc>
      </w:tr>
      <w:tr w:rsidR="007A494E" w:rsidRPr="00E04B87" w14:paraId="2CA23043" w14:textId="77777777">
        <w:tc>
          <w:tcPr>
            <w:tcW w:w="9738" w:type="dxa"/>
            <w:gridSpan w:val="2"/>
            <w:shd w:val="clear" w:color="auto" w:fill="E6E6E6"/>
          </w:tcPr>
          <w:p w14:paraId="32A986B9" w14:textId="69501EBA" w:rsidR="007A494E" w:rsidRPr="00E04B87" w:rsidRDefault="00D5171E" w:rsidP="007A494E">
            <w:pPr>
              <w:keepNext/>
              <w:spacing w:before="60" w:after="60"/>
              <w:rPr>
                <w:rFonts w:ascii="Arial" w:hAnsi="Arial" w:cs="Arial"/>
                <w:b/>
                <w:lang w:val="fr-CA"/>
              </w:rPr>
            </w:pPr>
            <w:r w:rsidRPr="00E04B87">
              <w:rPr>
                <w:rFonts w:ascii="Arial" w:hAnsi="Arial" w:cs="Arial"/>
                <w:b/>
                <w:lang w:val="fr-CA"/>
              </w:rPr>
              <w:t>Documents de fonctionnement</w:t>
            </w:r>
          </w:p>
        </w:tc>
      </w:tr>
      <w:tr w:rsidR="007A494E" w:rsidRPr="00E04B87" w14:paraId="4247B36A" w14:textId="77777777">
        <w:tc>
          <w:tcPr>
            <w:tcW w:w="7128" w:type="dxa"/>
          </w:tcPr>
          <w:p w14:paraId="65225800" w14:textId="67E23C95" w:rsidR="007A494E" w:rsidRPr="00E04B87" w:rsidRDefault="00D5171E" w:rsidP="00D5171E">
            <w:pPr>
              <w:spacing w:before="60" w:after="60"/>
              <w:ind w:left="30"/>
              <w:rPr>
                <w:rFonts w:ascii="Arial" w:hAnsi="Arial" w:cs="Arial"/>
                <w:lang w:val="fr-CA"/>
              </w:rPr>
            </w:pPr>
            <w:r w:rsidRPr="00E04B87">
              <w:rPr>
                <w:rFonts w:ascii="Arial" w:hAnsi="Arial" w:cs="Arial"/>
                <w:lang w:val="fr-CA"/>
              </w:rPr>
              <w:t>Manuels, politiques et procédures de fonctionnement</w:t>
            </w:r>
          </w:p>
        </w:tc>
        <w:tc>
          <w:tcPr>
            <w:tcW w:w="2610" w:type="dxa"/>
          </w:tcPr>
          <w:p w14:paraId="7196D3C9" w14:textId="0D7D13AE" w:rsidR="007A494E" w:rsidRPr="00E04B87" w:rsidRDefault="007C37F8" w:rsidP="007A494E">
            <w:pPr>
              <w:spacing w:before="60" w:after="60"/>
              <w:rPr>
                <w:rFonts w:ascii="Arial" w:hAnsi="Arial" w:cs="Arial"/>
                <w:lang w:val="fr-CA"/>
              </w:rPr>
            </w:pPr>
            <w:r w:rsidRPr="00E04B87">
              <w:rPr>
                <w:rFonts w:ascii="Arial" w:hAnsi="Arial" w:cs="Arial"/>
                <w:lang w:val="fr-CA"/>
              </w:rPr>
              <w:t>Permanente</w:t>
            </w:r>
          </w:p>
        </w:tc>
      </w:tr>
      <w:tr w:rsidR="007A494E" w:rsidRPr="00E04B87" w14:paraId="0598FFD3" w14:textId="77777777">
        <w:tc>
          <w:tcPr>
            <w:tcW w:w="7128" w:type="dxa"/>
          </w:tcPr>
          <w:p w14:paraId="53BACAD7" w14:textId="15FFF7D7" w:rsidR="007A494E" w:rsidRPr="00E04B87" w:rsidRDefault="00D5171E" w:rsidP="00D5171E">
            <w:pPr>
              <w:spacing w:before="60" w:after="60"/>
              <w:ind w:left="30"/>
              <w:rPr>
                <w:rFonts w:ascii="Arial" w:hAnsi="Arial" w:cs="Arial"/>
                <w:lang w:val="fr-CA"/>
              </w:rPr>
            </w:pPr>
            <w:r w:rsidRPr="00E04B87">
              <w:rPr>
                <w:rFonts w:ascii="Arial" w:hAnsi="Arial" w:cs="Arial"/>
                <w:lang w:val="fr-CA"/>
              </w:rPr>
              <w:t>Brevets, marques de commerce et droits d’auteur originaux</w:t>
            </w:r>
          </w:p>
        </w:tc>
        <w:tc>
          <w:tcPr>
            <w:tcW w:w="2610" w:type="dxa"/>
          </w:tcPr>
          <w:p w14:paraId="40047212" w14:textId="10E9C2AE" w:rsidR="007A494E" w:rsidRPr="00E04B87" w:rsidRDefault="007A494E" w:rsidP="007A494E">
            <w:pPr>
              <w:spacing w:before="60" w:after="60"/>
              <w:rPr>
                <w:rFonts w:ascii="Arial" w:hAnsi="Arial" w:cs="Arial"/>
                <w:lang w:val="fr-CA"/>
              </w:rPr>
            </w:pPr>
            <w:r w:rsidRPr="00E04B87">
              <w:rPr>
                <w:rFonts w:ascii="Arial" w:hAnsi="Arial" w:cs="Arial"/>
                <w:lang w:val="fr-CA"/>
              </w:rPr>
              <w:t xml:space="preserve">7 </w:t>
            </w:r>
            <w:r w:rsidR="00D5171E" w:rsidRPr="00E04B87">
              <w:rPr>
                <w:rFonts w:ascii="Arial" w:hAnsi="Arial" w:cs="Arial"/>
                <w:lang w:val="fr-CA"/>
              </w:rPr>
              <w:t>ans après l’expiration des droits</w:t>
            </w:r>
          </w:p>
        </w:tc>
      </w:tr>
      <w:tr w:rsidR="007A494E" w:rsidRPr="00E04B87" w14:paraId="30284D0B" w14:textId="77777777">
        <w:tc>
          <w:tcPr>
            <w:tcW w:w="7128" w:type="dxa"/>
          </w:tcPr>
          <w:p w14:paraId="599AE89D" w14:textId="5FE57942" w:rsidR="007A494E" w:rsidRPr="00E04B87" w:rsidRDefault="00D5171E" w:rsidP="007A494E">
            <w:pPr>
              <w:spacing w:before="60" w:after="60"/>
              <w:ind w:left="30"/>
              <w:rPr>
                <w:rFonts w:ascii="Arial" w:hAnsi="Arial" w:cs="Arial"/>
                <w:lang w:val="fr-CA"/>
              </w:rPr>
            </w:pPr>
            <w:r w:rsidRPr="00E04B87">
              <w:rPr>
                <w:rFonts w:ascii="Arial" w:hAnsi="Arial" w:cs="Arial"/>
                <w:lang w:val="fr-CA"/>
              </w:rPr>
              <w:t>Documentation douanière</w:t>
            </w:r>
          </w:p>
        </w:tc>
        <w:tc>
          <w:tcPr>
            <w:tcW w:w="2610" w:type="dxa"/>
          </w:tcPr>
          <w:p w14:paraId="26DABA42" w14:textId="6F8688CE" w:rsidR="007A494E" w:rsidRPr="00E04B87" w:rsidRDefault="007A494E" w:rsidP="007A494E">
            <w:pPr>
              <w:spacing w:before="60" w:after="60"/>
              <w:rPr>
                <w:rFonts w:ascii="Arial" w:hAnsi="Arial" w:cs="Arial"/>
                <w:lang w:val="fr-CA"/>
              </w:rPr>
            </w:pPr>
            <w:r w:rsidRPr="00E04B87">
              <w:rPr>
                <w:rFonts w:ascii="Arial" w:hAnsi="Arial" w:cs="Arial"/>
                <w:lang w:val="fr-CA"/>
              </w:rPr>
              <w:t xml:space="preserve">7 </w:t>
            </w:r>
            <w:r w:rsidR="00D5171E" w:rsidRPr="00E04B87">
              <w:rPr>
                <w:rFonts w:ascii="Arial" w:hAnsi="Arial" w:cs="Arial"/>
                <w:lang w:val="fr-CA"/>
              </w:rPr>
              <w:t>ans</w:t>
            </w:r>
          </w:p>
        </w:tc>
      </w:tr>
      <w:tr w:rsidR="007A494E" w:rsidRPr="00E04B87" w14:paraId="608D7B2E" w14:textId="77777777">
        <w:tc>
          <w:tcPr>
            <w:tcW w:w="7128" w:type="dxa"/>
          </w:tcPr>
          <w:p w14:paraId="15207B63" w14:textId="3F3C5F5B" w:rsidR="007A494E" w:rsidRPr="00E04B87" w:rsidRDefault="00121661" w:rsidP="007A494E">
            <w:pPr>
              <w:spacing w:before="60" w:after="60"/>
              <w:ind w:left="30"/>
              <w:rPr>
                <w:rFonts w:ascii="Arial" w:hAnsi="Arial" w:cs="Arial"/>
                <w:lang w:val="fr-CA"/>
              </w:rPr>
            </w:pPr>
            <w:r w:rsidRPr="00E04B87">
              <w:rPr>
                <w:rFonts w:ascii="Arial" w:hAnsi="Arial" w:cs="Arial"/>
                <w:lang w:val="fr-CA"/>
              </w:rPr>
              <w:t>Inventaires physiques annuels</w:t>
            </w:r>
          </w:p>
        </w:tc>
        <w:tc>
          <w:tcPr>
            <w:tcW w:w="2610" w:type="dxa"/>
          </w:tcPr>
          <w:p w14:paraId="1A2A3705" w14:textId="543DF1B9" w:rsidR="007A494E" w:rsidRPr="00E04B87" w:rsidRDefault="007C37F8" w:rsidP="007A494E">
            <w:pPr>
              <w:spacing w:before="60" w:after="60"/>
              <w:rPr>
                <w:rFonts w:ascii="Arial" w:hAnsi="Arial" w:cs="Arial"/>
                <w:lang w:val="fr-CA"/>
              </w:rPr>
            </w:pPr>
            <w:r w:rsidRPr="00E04B87">
              <w:rPr>
                <w:rFonts w:ascii="Arial" w:hAnsi="Arial" w:cs="Arial"/>
                <w:lang w:val="fr-CA"/>
              </w:rPr>
              <w:t>Permanente</w:t>
            </w:r>
          </w:p>
        </w:tc>
      </w:tr>
      <w:tr w:rsidR="007A494E" w:rsidRPr="00E04B87" w14:paraId="5A31DDF1" w14:textId="77777777">
        <w:tc>
          <w:tcPr>
            <w:tcW w:w="7128" w:type="dxa"/>
            <w:tcBorders>
              <w:bottom w:val="single" w:sz="4" w:space="0" w:color="B2B2B2" w:themeColor="background2" w:themeShade="BF"/>
            </w:tcBorders>
          </w:tcPr>
          <w:p w14:paraId="2EBB6EAD" w14:textId="1BE9EBE7" w:rsidR="007A494E" w:rsidRPr="00E04B87" w:rsidRDefault="00121661" w:rsidP="00121661">
            <w:pPr>
              <w:spacing w:before="60" w:after="60"/>
              <w:ind w:left="30"/>
              <w:rPr>
                <w:rFonts w:ascii="Arial" w:hAnsi="Arial" w:cs="Arial"/>
                <w:lang w:val="fr-CA"/>
              </w:rPr>
            </w:pPr>
            <w:r w:rsidRPr="00E04B87">
              <w:rPr>
                <w:rFonts w:ascii="Arial" w:hAnsi="Arial" w:cs="Arial"/>
                <w:lang w:val="fr-CA"/>
              </w:rPr>
              <w:t xml:space="preserve">Procès-verbaux des réunions du comité de santé et </w:t>
            </w:r>
            <w:r w:rsidR="00B016E8" w:rsidRPr="00E04B87">
              <w:rPr>
                <w:rFonts w:ascii="Arial" w:hAnsi="Arial" w:cs="Arial"/>
                <w:lang w:val="fr-CA"/>
              </w:rPr>
              <w:t xml:space="preserve">de </w:t>
            </w:r>
            <w:r w:rsidRPr="00E04B87">
              <w:rPr>
                <w:rFonts w:ascii="Arial" w:hAnsi="Arial" w:cs="Arial"/>
                <w:lang w:val="fr-CA"/>
              </w:rPr>
              <w:t>sécurité, rapports d’inspection et rapports sur les mesures instaurées s’y rattachant</w:t>
            </w:r>
          </w:p>
        </w:tc>
        <w:tc>
          <w:tcPr>
            <w:tcW w:w="2610" w:type="dxa"/>
            <w:tcBorders>
              <w:bottom w:val="single" w:sz="4" w:space="0" w:color="B2B2B2" w:themeColor="background2" w:themeShade="BF"/>
            </w:tcBorders>
          </w:tcPr>
          <w:p w14:paraId="6791A9F4" w14:textId="39055BE5" w:rsidR="007A494E" w:rsidRPr="00E04B87" w:rsidRDefault="007A494E" w:rsidP="007A494E">
            <w:pPr>
              <w:spacing w:before="60" w:after="60"/>
              <w:rPr>
                <w:rFonts w:ascii="Arial" w:hAnsi="Arial" w:cs="Arial"/>
                <w:lang w:val="fr-CA"/>
              </w:rPr>
            </w:pPr>
            <w:r w:rsidRPr="00E04B87">
              <w:rPr>
                <w:rFonts w:ascii="Arial" w:hAnsi="Arial" w:cs="Arial"/>
                <w:lang w:val="fr-CA"/>
              </w:rPr>
              <w:t xml:space="preserve">10 </w:t>
            </w:r>
            <w:r w:rsidR="00D5171E" w:rsidRPr="00E04B87">
              <w:rPr>
                <w:rFonts w:ascii="Arial" w:hAnsi="Arial" w:cs="Arial"/>
                <w:lang w:val="fr-CA"/>
              </w:rPr>
              <w:t>ans</w:t>
            </w:r>
          </w:p>
        </w:tc>
      </w:tr>
      <w:tr w:rsidR="007A494E" w:rsidRPr="00E04B87" w14:paraId="43F91859" w14:textId="77777777">
        <w:tc>
          <w:tcPr>
            <w:tcW w:w="9738" w:type="dxa"/>
            <w:gridSpan w:val="2"/>
            <w:shd w:val="clear" w:color="auto" w:fill="E6E6E6"/>
          </w:tcPr>
          <w:p w14:paraId="461C3A65" w14:textId="428C9B92" w:rsidR="007A494E" w:rsidRPr="00E04B87" w:rsidRDefault="00F1518F" w:rsidP="007A494E">
            <w:pPr>
              <w:keepNext/>
              <w:spacing w:before="60" w:after="60"/>
              <w:rPr>
                <w:rFonts w:ascii="Arial" w:hAnsi="Arial" w:cs="Arial"/>
                <w:b/>
                <w:lang w:val="fr-CA"/>
              </w:rPr>
            </w:pPr>
            <w:r w:rsidRPr="00E04B87">
              <w:rPr>
                <w:rFonts w:ascii="Arial" w:hAnsi="Arial" w:cs="Arial"/>
                <w:b/>
                <w:lang w:val="fr-CA"/>
              </w:rPr>
              <w:t>Disques de sauvegarde</w:t>
            </w:r>
          </w:p>
        </w:tc>
      </w:tr>
      <w:tr w:rsidR="007A494E" w:rsidRPr="00E04B87" w14:paraId="4789CED2" w14:textId="77777777">
        <w:tc>
          <w:tcPr>
            <w:tcW w:w="7128" w:type="dxa"/>
          </w:tcPr>
          <w:p w14:paraId="4627D823" w14:textId="764E1A2D" w:rsidR="007A494E" w:rsidRPr="00E04B87" w:rsidRDefault="00F1518F" w:rsidP="007A494E">
            <w:pPr>
              <w:spacing w:before="60" w:after="60"/>
              <w:rPr>
                <w:rFonts w:ascii="Arial" w:hAnsi="Arial" w:cs="Arial"/>
                <w:color w:val="00B050"/>
                <w:lang w:val="fr-CA"/>
              </w:rPr>
            </w:pPr>
            <w:r w:rsidRPr="00E04B87">
              <w:rPr>
                <w:rFonts w:ascii="Arial" w:hAnsi="Arial" w:cs="Arial"/>
                <w:color w:val="00B050"/>
                <w:lang w:val="fr-CA"/>
              </w:rPr>
              <w:t xml:space="preserve">Disques de sauvegarde avant </w:t>
            </w:r>
            <w:r w:rsidR="00B016E8" w:rsidRPr="00E04B87">
              <w:rPr>
                <w:rFonts w:ascii="Arial" w:hAnsi="Arial" w:cs="Arial"/>
                <w:color w:val="00B050"/>
                <w:lang w:val="fr-CA"/>
              </w:rPr>
              <w:t xml:space="preserve">d’écraser </w:t>
            </w:r>
            <w:r w:rsidR="00CB782C" w:rsidRPr="00E04B87">
              <w:rPr>
                <w:rFonts w:ascii="Arial" w:hAnsi="Arial" w:cs="Arial"/>
                <w:color w:val="00B050"/>
                <w:lang w:val="fr-CA"/>
              </w:rPr>
              <w:t>ou</w:t>
            </w:r>
            <w:r w:rsidR="00B016E8" w:rsidRPr="00E04B87">
              <w:rPr>
                <w:rFonts w:ascii="Arial" w:hAnsi="Arial" w:cs="Arial"/>
                <w:color w:val="00B050"/>
                <w:lang w:val="fr-CA"/>
              </w:rPr>
              <w:t xml:space="preserve"> de supprimer</w:t>
            </w:r>
          </w:p>
        </w:tc>
        <w:tc>
          <w:tcPr>
            <w:tcW w:w="2610" w:type="dxa"/>
          </w:tcPr>
          <w:p w14:paraId="019B8D56" w14:textId="191FB29D" w:rsidR="007A494E" w:rsidRPr="00E04B87" w:rsidRDefault="007A494E" w:rsidP="007A494E">
            <w:pPr>
              <w:spacing w:before="60" w:after="60"/>
              <w:rPr>
                <w:rFonts w:ascii="Arial" w:hAnsi="Arial" w:cs="Arial"/>
                <w:lang w:val="fr-CA"/>
              </w:rPr>
            </w:pPr>
            <w:r w:rsidRPr="00E04B87">
              <w:rPr>
                <w:rFonts w:ascii="Arial" w:hAnsi="Arial" w:cs="Arial"/>
                <w:lang w:val="fr-CA"/>
              </w:rPr>
              <w:t xml:space="preserve">3 </w:t>
            </w:r>
            <w:r w:rsidR="00F1518F" w:rsidRPr="00E04B87">
              <w:rPr>
                <w:rFonts w:ascii="Arial" w:hAnsi="Arial" w:cs="Arial"/>
                <w:lang w:val="fr-CA"/>
              </w:rPr>
              <w:t>mois</w:t>
            </w:r>
          </w:p>
        </w:tc>
      </w:tr>
    </w:tbl>
    <w:p w14:paraId="0CD01912" w14:textId="77777777" w:rsidR="004571A2" w:rsidRPr="00E04B87" w:rsidRDefault="004571A2" w:rsidP="00350390">
      <w:pPr>
        <w:rPr>
          <w:lang w:val="fr-CA"/>
        </w:rPr>
      </w:pPr>
    </w:p>
    <w:p w14:paraId="265E911F" w14:textId="3E6B6398" w:rsidR="004571A2" w:rsidRPr="00E04B87" w:rsidRDefault="00BD0661" w:rsidP="001760D7">
      <w:pPr>
        <w:pStyle w:val="Heading1"/>
        <w:pageBreakBefore/>
        <w:rPr>
          <w:lang w:val="fr-CA"/>
        </w:rPr>
      </w:pPr>
      <w:bookmarkStart w:id="62" w:name="_Toc17376450"/>
      <w:r w:rsidRPr="00E04B87">
        <w:rPr>
          <w:lang w:val="fr-CA"/>
        </w:rPr>
        <w:t xml:space="preserve">CONFIDENTIALITÉ </w:t>
      </w:r>
      <w:bookmarkEnd w:id="62"/>
      <w:r w:rsidR="00447F25" w:rsidRPr="00E04B87">
        <w:rPr>
          <w:lang w:val="fr-CA"/>
        </w:rPr>
        <w:t>DES RENSEIGNEMENTS</w:t>
      </w:r>
    </w:p>
    <w:p w14:paraId="14F213FA" w14:textId="3FE572DB" w:rsidR="004571A2" w:rsidRPr="00E04B87" w:rsidRDefault="006521DD" w:rsidP="004571A2">
      <w:pPr>
        <w:pStyle w:val="14ptCAPS"/>
        <w:rPr>
          <w:lang w:val="fr-CA"/>
        </w:rPr>
      </w:pPr>
      <w:r w:rsidRPr="00E04B87">
        <w:rPr>
          <w:lang w:val="fr-CA"/>
        </w:rPr>
        <w:t>POLITIQUE</w:t>
      </w:r>
      <w:r w:rsidR="004571A2" w:rsidRPr="00E04B87">
        <w:rPr>
          <w:lang w:val="fr-CA"/>
        </w:rPr>
        <w:t xml:space="preserve"> </w:t>
      </w:r>
    </w:p>
    <w:p w14:paraId="25F51CC3" w14:textId="52D74BEF" w:rsidR="004571A2" w:rsidRPr="00E04B87" w:rsidRDefault="003E3DD1" w:rsidP="004571A2">
      <w:pPr>
        <w:pStyle w:val="14ptheading"/>
        <w:rPr>
          <w:lang w:val="fr-CA"/>
        </w:rPr>
      </w:pPr>
      <w:r w:rsidRPr="00E04B87">
        <w:rPr>
          <w:lang w:val="fr-CA"/>
        </w:rPr>
        <w:t>Énoncé de politique</w:t>
      </w:r>
    </w:p>
    <w:p w14:paraId="475D2E7F" w14:textId="38E4469D" w:rsidR="004571A2" w:rsidRPr="00E04B87" w:rsidRDefault="006521DD" w:rsidP="004571A2">
      <w:pPr>
        <w:rPr>
          <w:lang w:val="fr-CA"/>
        </w:rPr>
      </w:pPr>
      <w:r w:rsidRPr="00E04B87">
        <w:rPr>
          <w:lang w:val="fr-CA"/>
        </w:rPr>
        <w:t xml:space="preserve">Le conseil de Première Nation a pour politique d’établir un processus </w:t>
      </w:r>
      <w:r w:rsidR="003E3DD1" w:rsidRPr="00E04B87">
        <w:rPr>
          <w:lang w:val="fr-CA"/>
        </w:rPr>
        <w:t>visant à assurer la confidentialité des renseignements personnels fournis à la Première Nation conformément aux obligations juridiques</w:t>
      </w:r>
      <w:r w:rsidR="00726627" w:rsidRPr="00E04B87">
        <w:rPr>
          <w:lang w:val="fr-CA"/>
        </w:rPr>
        <w:t xml:space="preserve"> comme celles énoncées dans la </w:t>
      </w:r>
      <w:r w:rsidR="00726627" w:rsidRPr="00E04B87">
        <w:rPr>
          <w:i/>
          <w:iCs/>
          <w:lang w:val="fr-CA"/>
        </w:rPr>
        <w:t>Loi sur la protection des renseignements personnels et les documents électroniques</w:t>
      </w:r>
      <w:r w:rsidR="00726627" w:rsidRPr="00E04B87">
        <w:rPr>
          <w:lang w:val="fr-CA"/>
        </w:rPr>
        <w:t xml:space="preserve"> ou une loi fédérale ou provinciale semblable</w:t>
      </w:r>
      <w:r w:rsidR="004571A2" w:rsidRPr="00E04B87">
        <w:rPr>
          <w:lang w:val="fr-CA"/>
        </w:rPr>
        <w:t xml:space="preserve">. </w:t>
      </w:r>
    </w:p>
    <w:p w14:paraId="5CCD86D1" w14:textId="61777606" w:rsidR="004571A2" w:rsidRPr="00E04B87" w:rsidRDefault="006521DD" w:rsidP="004571A2">
      <w:pPr>
        <w:pStyle w:val="14ptheading"/>
        <w:rPr>
          <w:lang w:val="fr-CA"/>
        </w:rPr>
      </w:pPr>
      <w:r w:rsidRPr="00E04B87">
        <w:rPr>
          <w:lang w:val="fr-CA"/>
        </w:rPr>
        <w:t>Objectif</w:t>
      </w:r>
    </w:p>
    <w:p w14:paraId="53B9E11B" w14:textId="45E0B505" w:rsidR="004571A2" w:rsidRPr="00E04B87" w:rsidRDefault="006521DD" w:rsidP="004571A2">
      <w:pPr>
        <w:rPr>
          <w:lang w:val="fr-CA"/>
        </w:rPr>
      </w:pPr>
      <w:r w:rsidRPr="00E04B87">
        <w:rPr>
          <w:lang w:val="fr-CA"/>
        </w:rPr>
        <w:t xml:space="preserve">L’objectif de la présente politique est </w:t>
      </w:r>
      <w:r w:rsidR="00250E4F">
        <w:rPr>
          <w:lang w:val="fr-CA"/>
        </w:rPr>
        <w:t>d’établir</w:t>
      </w:r>
      <w:r w:rsidR="00D14833" w:rsidRPr="00E04B87">
        <w:rPr>
          <w:lang w:val="fr-CA"/>
        </w:rPr>
        <w:t xml:space="preserve"> des directives relativement à la mise en œuvre et au maintien de pratiques appropriées en matière de </w:t>
      </w:r>
      <w:r w:rsidR="00814688" w:rsidRPr="00E04B87">
        <w:rPr>
          <w:lang w:val="fr-CA"/>
        </w:rPr>
        <w:t>protection</w:t>
      </w:r>
      <w:r w:rsidR="00D14833" w:rsidRPr="00E04B87">
        <w:rPr>
          <w:lang w:val="fr-CA"/>
        </w:rPr>
        <w:t xml:space="preserve"> de</w:t>
      </w:r>
      <w:r w:rsidR="00447F25" w:rsidRPr="00E04B87">
        <w:rPr>
          <w:lang w:val="fr-CA"/>
        </w:rPr>
        <w:t>s</w:t>
      </w:r>
      <w:r w:rsidR="00D14833" w:rsidRPr="00E04B87">
        <w:rPr>
          <w:lang w:val="fr-CA"/>
        </w:rPr>
        <w:t xml:space="preserve"> </w:t>
      </w:r>
      <w:r w:rsidR="00447F25" w:rsidRPr="00E04B87">
        <w:rPr>
          <w:lang w:val="fr-CA"/>
        </w:rPr>
        <w:t>renseignements</w:t>
      </w:r>
      <w:r w:rsidR="00D14833" w:rsidRPr="00E04B87">
        <w:rPr>
          <w:lang w:val="fr-CA"/>
        </w:rPr>
        <w:t xml:space="preserve"> au sein de la Première Nation en ce qui a trait à la collecte, à l’utilisation, à la divulgation, à la conservation et à la protection des renseignements personnels</w:t>
      </w:r>
      <w:r w:rsidR="004571A2" w:rsidRPr="00E04B87">
        <w:rPr>
          <w:lang w:val="fr-CA"/>
        </w:rPr>
        <w:t xml:space="preserve">. </w:t>
      </w:r>
    </w:p>
    <w:p w14:paraId="1CFDB934" w14:textId="71631266" w:rsidR="004571A2" w:rsidRPr="00E04B87" w:rsidRDefault="006521DD" w:rsidP="004571A2">
      <w:pPr>
        <w:pStyle w:val="14ptheading"/>
        <w:rPr>
          <w:lang w:val="fr-CA"/>
        </w:rPr>
      </w:pPr>
      <w:r w:rsidRPr="00E04B87">
        <w:rPr>
          <w:lang w:val="fr-CA"/>
        </w:rPr>
        <w:t>Portée et application</w:t>
      </w:r>
    </w:p>
    <w:p w14:paraId="00D25962" w14:textId="709916BC" w:rsidR="00814688" w:rsidRPr="00E04B87" w:rsidRDefault="00814688" w:rsidP="00814688">
      <w:pPr>
        <w:rPr>
          <w:lang w:val="fr-CA"/>
        </w:rPr>
      </w:pPr>
      <w:r w:rsidRPr="00E04B87">
        <w:rPr>
          <w:lang w:val="fr-CA"/>
        </w:rPr>
        <w:t xml:space="preserve">La présente politique s’applique aux membres du conseil de Première Nation, aux membres du Comité des finances et d’audit, aux dirigeants et aux employés de la Première Nation ainsi qu’à tout sous-traitant ou bénévole exerçant des activités pour le compte du conseil de Première Nation. Les directives contenues dans la présente politique s’appliquent à tous les renseignements personnels créés ou acquis par la Première Nation, sans égard à leur format (c.-à-d. tant en format papier qu’en format électronique). </w:t>
      </w:r>
    </w:p>
    <w:p w14:paraId="1AB2504D" w14:textId="515346A9" w:rsidR="004571A2" w:rsidRPr="00E04B87" w:rsidRDefault="006521DD" w:rsidP="004571A2">
      <w:pPr>
        <w:pStyle w:val="14ptheading"/>
        <w:rPr>
          <w:lang w:val="fr-CA"/>
        </w:rPr>
      </w:pPr>
      <w:r w:rsidRPr="00E04B87">
        <w:rPr>
          <w:lang w:val="fr-CA"/>
        </w:rPr>
        <w:t>Responsabilités</w:t>
      </w:r>
    </w:p>
    <w:p w14:paraId="45BF65E0" w14:textId="35B0E546" w:rsidR="004571A2" w:rsidRPr="00E04B87" w:rsidRDefault="006521DD" w:rsidP="004571A2">
      <w:pPr>
        <w:pStyle w:val="Heading3"/>
        <w:rPr>
          <w:lang w:val="fr-CA"/>
        </w:rPr>
      </w:pPr>
      <w:r w:rsidRPr="00E04B87">
        <w:rPr>
          <w:lang w:val="fr-CA"/>
        </w:rPr>
        <w:t>Le conseil de Première Nation a les responsabilités suivantes :</w:t>
      </w:r>
    </w:p>
    <w:p w14:paraId="5AB41C4A" w14:textId="33B39EB7" w:rsidR="004571A2" w:rsidRPr="00E04B87" w:rsidRDefault="00D024E0" w:rsidP="004571A2">
      <w:pPr>
        <w:pStyle w:val="ListParagraph"/>
        <w:rPr>
          <w:lang w:val="fr-CA"/>
        </w:rPr>
      </w:pPr>
      <w:proofErr w:type="gramStart"/>
      <w:r w:rsidRPr="00E04B87">
        <w:rPr>
          <w:lang w:val="fr-CA"/>
        </w:rPr>
        <w:t>approuver</w:t>
      </w:r>
      <w:proofErr w:type="gramEnd"/>
      <w:r w:rsidRPr="00E04B87">
        <w:rPr>
          <w:lang w:val="fr-CA"/>
        </w:rPr>
        <w:t xml:space="preserve"> la politique relative</w:t>
      </w:r>
      <w:r w:rsidR="00064C43" w:rsidRPr="00E04B87">
        <w:rPr>
          <w:lang w:val="fr-CA"/>
        </w:rPr>
        <w:t xml:space="preserve"> à la protection et à la gestion des renseignements personnels et s’y conformer</w:t>
      </w:r>
    </w:p>
    <w:p w14:paraId="4AAE1B86" w14:textId="0F69EF54" w:rsidR="004571A2" w:rsidRPr="00E04B87" w:rsidRDefault="006521DD" w:rsidP="004571A2">
      <w:pPr>
        <w:pStyle w:val="Heading3"/>
        <w:rPr>
          <w:lang w:val="fr-CA"/>
        </w:rPr>
      </w:pPr>
      <w:r w:rsidRPr="00E04B87">
        <w:rPr>
          <w:lang w:val="fr-CA"/>
        </w:rPr>
        <w:t>Le directeur général a les responsabilités suivantes :</w:t>
      </w:r>
    </w:p>
    <w:p w14:paraId="1462B8F3" w14:textId="18ECE404" w:rsidR="004571A2" w:rsidRPr="00E04B87" w:rsidRDefault="00064C43" w:rsidP="004571A2">
      <w:pPr>
        <w:pStyle w:val="ListParagraph"/>
        <w:rPr>
          <w:lang w:val="fr-CA"/>
        </w:rPr>
      </w:pPr>
      <w:proofErr w:type="gramStart"/>
      <w:r w:rsidRPr="00E04B87">
        <w:rPr>
          <w:lang w:val="fr-CA"/>
        </w:rPr>
        <w:t>établir</w:t>
      </w:r>
      <w:proofErr w:type="gramEnd"/>
      <w:r w:rsidRPr="00E04B87">
        <w:rPr>
          <w:lang w:val="fr-CA"/>
        </w:rPr>
        <w:t xml:space="preserve"> et mettre en œuvre des procédures </w:t>
      </w:r>
      <w:r w:rsidR="00447F25" w:rsidRPr="00E04B87">
        <w:rPr>
          <w:lang w:val="fr-CA"/>
        </w:rPr>
        <w:t xml:space="preserve">documentées </w:t>
      </w:r>
      <w:r w:rsidRPr="00E04B87">
        <w:rPr>
          <w:lang w:val="fr-CA"/>
        </w:rPr>
        <w:t xml:space="preserve">de protection et de gestion des renseignements personnels </w:t>
      </w:r>
    </w:p>
    <w:p w14:paraId="2A5E10E1" w14:textId="426D0A8C" w:rsidR="004571A2" w:rsidRPr="00E04B87" w:rsidRDefault="00285BA2" w:rsidP="004571A2">
      <w:pPr>
        <w:pStyle w:val="ListParagraph"/>
        <w:rPr>
          <w:lang w:val="fr-CA"/>
        </w:rPr>
      </w:pPr>
      <w:proofErr w:type="gramStart"/>
      <w:r w:rsidRPr="00E04B87">
        <w:rPr>
          <w:lang w:val="fr-CA"/>
        </w:rPr>
        <w:t>désigner</w:t>
      </w:r>
      <w:proofErr w:type="gramEnd"/>
      <w:r w:rsidRPr="00E04B87">
        <w:rPr>
          <w:lang w:val="fr-CA"/>
        </w:rPr>
        <w:t xml:space="preserve"> un employé pour gérer et surveiller</w:t>
      </w:r>
      <w:r w:rsidR="00B460F4" w:rsidRPr="00E04B87">
        <w:rPr>
          <w:lang w:val="fr-CA"/>
        </w:rPr>
        <w:t xml:space="preserve"> la conformité de la Première Nation aux obligations en matière de protection des renseignements personnels et à la présente politique</w:t>
      </w:r>
    </w:p>
    <w:p w14:paraId="75BA4FF7" w14:textId="5B99BD10" w:rsidR="004571A2" w:rsidRPr="00E04B87" w:rsidRDefault="00B460F4" w:rsidP="004571A2">
      <w:pPr>
        <w:pStyle w:val="ListParagraph"/>
        <w:rPr>
          <w:lang w:val="fr-CA"/>
        </w:rPr>
      </w:pPr>
      <w:proofErr w:type="gramStart"/>
      <w:r w:rsidRPr="00E04B87">
        <w:rPr>
          <w:lang w:val="fr-CA"/>
        </w:rPr>
        <w:t>veiller</w:t>
      </w:r>
      <w:proofErr w:type="gramEnd"/>
      <w:r w:rsidRPr="00E04B87">
        <w:rPr>
          <w:lang w:val="fr-CA"/>
        </w:rPr>
        <w:t xml:space="preserve"> au respect de la présente politique</w:t>
      </w:r>
    </w:p>
    <w:p w14:paraId="079ABAD5" w14:textId="166A632B" w:rsidR="004571A2" w:rsidRPr="00E04B87" w:rsidRDefault="00090AD0" w:rsidP="004571A2">
      <w:pPr>
        <w:pStyle w:val="Heading3"/>
        <w:rPr>
          <w:lang w:val="fr-CA"/>
        </w:rPr>
      </w:pPr>
      <w:r w:rsidRPr="00E04B87">
        <w:rPr>
          <w:lang w:val="fr-CA"/>
        </w:rPr>
        <w:t>L’employé désigné pour gérer et surveiller la protection des renseignements personnels a les responsabilités suivantes :</w:t>
      </w:r>
    </w:p>
    <w:p w14:paraId="55FE39D8" w14:textId="58592BA2" w:rsidR="004571A2" w:rsidRPr="00E04B87" w:rsidRDefault="00285BA2" w:rsidP="002136C4">
      <w:pPr>
        <w:pStyle w:val="ListParagraph"/>
        <w:rPr>
          <w:color w:val="005FA5" w:themeColor="accent1"/>
          <w:lang w:val="fr-CA"/>
        </w:rPr>
      </w:pPr>
      <w:proofErr w:type="gramStart"/>
      <w:r w:rsidRPr="00E04B87">
        <w:rPr>
          <w:color w:val="005FA5" w:themeColor="accent1"/>
          <w:lang w:val="fr-CA"/>
        </w:rPr>
        <w:t>élaborer</w:t>
      </w:r>
      <w:proofErr w:type="gramEnd"/>
      <w:r w:rsidRPr="00E04B87">
        <w:rPr>
          <w:color w:val="005FA5" w:themeColor="accent1"/>
          <w:lang w:val="fr-CA"/>
        </w:rPr>
        <w:t xml:space="preserve"> et maintenir des normes, des politiques et des procédures appuyant les objectifs du programme de protection des renseignements personnels de la Première Nation</w:t>
      </w:r>
    </w:p>
    <w:p w14:paraId="14FE03B7" w14:textId="23BA6CF0" w:rsidR="004571A2" w:rsidRPr="00E04B87" w:rsidRDefault="008A7356" w:rsidP="00BF4DAE">
      <w:pPr>
        <w:pStyle w:val="ListParagraph"/>
        <w:spacing w:after="0"/>
        <w:ind w:left="357" w:hanging="357"/>
        <w:rPr>
          <w:color w:val="005FA5" w:themeColor="accent1"/>
          <w:lang w:val="fr-CA"/>
        </w:rPr>
      </w:pPr>
      <w:proofErr w:type="gramStart"/>
      <w:r w:rsidRPr="00E04B87">
        <w:rPr>
          <w:color w:val="005FA5" w:themeColor="accent1"/>
          <w:lang w:val="fr-CA"/>
        </w:rPr>
        <w:t>veiller</w:t>
      </w:r>
      <w:proofErr w:type="gramEnd"/>
      <w:r w:rsidRPr="00E04B87">
        <w:rPr>
          <w:color w:val="005FA5" w:themeColor="accent1"/>
          <w:lang w:val="fr-CA"/>
        </w:rPr>
        <w:t xml:space="preserve"> à ce que toutes les activités de la Première Nation soient exercées de façon conforme aux normes, aux politiques et aux procédures en matière de protection des renseignements personnels</w:t>
      </w:r>
      <w:r w:rsidR="00A81D51" w:rsidRPr="00E04B87">
        <w:rPr>
          <w:color w:val="005FA5" w:themeColor="accent1"/>
          <w:lang w:val="fr-CA"/>
        </w:rPr>
        <w:t xml:space="preserve"> </w:t>
      </w:r>
      <w:r w:rsidR="00960801" w:rsidRPr="00E04B87">
        <w:rPr>
          <w:color w:val="005FA5" w:themeColor="accent1"/>
          <w:lang w:val="fr-CA"/>
        </w:rPr>
        <w:t xml:space="preserve">établies </w:t>
      </w:r>
      <w:r w:rsidR="00A81D51" w:rsidRPr="00E04B87">
        <w:rPr>
          <w:color w:val="005FA5" w:themeColor="accent1"/>
          <w:lang w:val="fr-CA"/>
        </w:rPr>
        <w:t>ainsi qu’aux principes de protection des renseignements personnels généralement reconnus. À cette fin, l’employé doit :</w:t>
      </w:r>
    </w:p>
    <w:p w14:paraId="7BC2B00B" w14:textId="6E8D1040" w:rsidR="00960801" w:rsidRPr="00E04B87" w:rsidRDefault="00960801" w:rsidP="002136C4">
      <w:pPr>
        <w:pStyle w:val="subbullet"/>
        <w:rPr>
          <w:color w:val="005FA5" w:themeColor="accent1"/>
          <w:lang w:val="fr-CA"/>
        </w:rPr>
      </w:pPr>
      <w:proofErr w:type="gramStart"/>
      <w:r w:rsidRPr="00E04B87">
        <w:rPr>
          <w:color w:val="005FA5" w:themeColor="accent1"/>
          <w:lang w:val="fr-CA"/>
        </w:rPr>
        <w:t>offrir</w:t>
      </w:r>
      <w:proofErr w:type="gramEnd"/>
      <w:r w:rsidRPr="00E04B87">
        <w:rPr>
          <w:color w:val="005FA5" w:themeColor="accent1"/>
          <w:lang w:val="fr-CA"/>
        </w:rPr>
        <w:t xml:space="preserve"> de la formation et de l’information sur la protection des renseignements personnels</w:t>
      </w:r>
    </w:p>
    <w:p w14:paraId="6FE13AB3" w14:textId="0592FA91" w:rsidR="004571A2" w:rsidRPr="00E04B87" w:rsidRDefault="00960801" w:rsidP="002136C4">
      <w:pPr>
        <w:pStyle w:val="subbullet"/>
        <w:rPr>
          <w:color w:val="005FA5" w:themeColor="accent1"/>
          <w:lang w:val="fr-CA"/>
        </w:rPr>
      </w:pPr>
      <w:proofErr w:type="gramStart"/>
      <w:r w:rsidRPr="00E04B87">
        <w:rPr>
          <w:color w:val="005FA5" w:themeColor="accent1"/>
          <w:lang w:val="fr-CA"/>
        </w:rPr>
        <w:t>s’assurer</w:t>
      </w:r>
      <w:proofErr w:type="gramEnd"/>
      <w:r w:rsidRPr="00E04B87">
        <w:rPr>
          <w:color w:val="005FA5" w:themeColor="accent1"/>
          <w:lang w:val="fr-CA"/>
        </w:rPr>
        <w:t xml:space="preserve"> que les membres de la Première Nation connaissent leurs droits en matière de protection des renseignements personnels, y compris leur droit d’accéder à tous les renseignements personnels à leur sujet détenus par la Première Nation et </w:t>
      </w:r>
      <w:r w:rsidR="00BF4DAE" w:rsidRPr="00E04B87">
        <w:rPr>
          <w:color w:val="005FA5" w:themeColor="accent1"/>
          <w:lang w:val="fr-CA"/>
        </w:rPr>
        <w:t xml:space="preserve">leur droit </w:t>
      </w:r>
      <w:r w:rsidRPr="00E04B87">
        <w:rPr>
          <w:color w:val="005FA5" w:themeColor="accent1"/>
          <w:lang w:val="fr-CA"/>
        </w:rPr>
        <w:t>de demander de les corriger</w:t>
      </w:r>
    </w:p>
    <w:p w14:paraId="2E95E036" w14:textId="43D861ED" w:rsidR="004571A2" w:rsidRPr="00E04B87" w:rsidRDefault="00BF4DAE" w:rsidP="002136C4">
      <w:pPr>
        <w:pStyle w:val="subbullet"/>
        <w:rPr>
          <w:color w:val="005FA5" w:themeColor="accent1"/>
          <w:lang w:val="fr-CA"/>
        </w:rPr>
      </w:pPr>
      <w:proofErr w:type="gramStart"/>
      <w:r w:rsidRPr="00E04B87">
        <w:rPr>
          <w:color w:val="005FA5" w:themeColor="accent1"/>
          <w:lang w:val="fr-CA"/>
        </w:rPr>
        <w:t>agir</w:t>
      </w:r>
      <w:proofErr w:type="gramEnd"/>
      <w:r w:rsidRPr="00E04B87">
        <w:rPr>
          <w:color w:val="005FA5" w:themeColor="accent1"/>
          <w:lang w:val="fr-CA"/>
        </w:rPr>
        <w:t xml:space="preserve"> comme personne-ressource en matière de protection des renseignements personnels</w:t>
      </w:r>
    </w:p>
    <w:p w14:paraId="46C742C5" w14:textId="1158E8CF" w:rsidR="004571A2" w:rsidRPr="00E04B87" w:rsidRDefault="00BF4DAE" w:rsidP="00BF4DAE">
      <w:pPr>
        <w:pStyle w:val="subbullet"/>
        <w:spacing w:after="0"/>
        <w:ind w:left="714" w:hanging="357"/>
        <w:rPr>
          <w:color w:val="005FA5" w:themeColor="accent1"/>
          <w:lang w:val="fr-CA"/>
        </w:rPr>
      </w:pPr>
      <w:proofErr w:type="gramStart"/>
      <w:r w:rsidRPr="00E04B87">
        <w:rPr>
          <w:color w:val="005FA5" w:themeColor="accent1"/>
          <w:lang w:val="fr-CA"/>
        </w:rPr>
        <w:t>réaliser</w:t>
      </w:r>
      <w:proofErr w:type="gramEnd"/>
      <w:r w:rsidRPr="00E04B87">
        <w:rPr>
          <w:color w:val="005FA5" w:themeColor="accent1"/>
          <w:lang w:val="fr-CA"/>
        </w:rPr>
        <w:t xml:space="preserve"> des examens périodiques des activités de la Première Nation </w:t>
      </w:r>
      <w:r w:rsidR="00924EA8" w:rsidRPr="00E04B87">
        <w:rPr>
          <w:color w:val="005FA5" w:themeColor="accent1"/>
          <w:lang w:val="fr-CA"/>
        </w:rPr>
        <w:t>impliquant</w:t>
      </w:r>
      <w:r w:rsidRPr="00E04B87">
        <w:rPr>
          <w:color w:val="005FA5" w:themeColor="accent1"/>
          <w:lang w:val="fr-CA"/>
        </w:rPr>
        <w:t xml:space="preserve"> la collecte, l’utilisation, la divulgation, la conservation et la protection de renseignements personnels</w:t>
      </w:r>
    </w:p>
    <w:p w14:paraId="1C59AD9A" w14:textId="1AE806AC" w:rsidR="0022787C" w:rsidRPr="00E04B87" w:rsidRDefault="0022787C" w:rsidP="002136C4">
      <w:pPr>
        <w:pStyle w:val="ListParagraph"/>
        <w:spacing w:before="0"/>
        <w:rPr>
          <w:color w:val="005FA5" w:themeColor="accent1"/>
          <w:lang w:val="fr-CA"/>
        </w:rPr>
      </w:pPr>
      <w:proofErr w:type="gramStart"/>
      <w:r w:rsidRPr="00E04B87">
        <w:rPr>
          <w:color w:val="005FA5" w:themeColor="accent1"/>
          <w:lang w:val="fr-CA"/>
        </w:rPr>
        <w:t>faire</w:t>
      </w:r>
      <w:proofErr w:type="gramEnd"/>
      <w:r w:rsidRPr="00E04B87">
        <w:rPr>
          <w:color w:val="005FA5" w:themeColor="accent1"/>
          <w:lang w:val="fr-CA"/>
        </w:rPr>
        <w:t xml:space="preserve"> enquête </w:t>
      </w:r>
      <w:r w:rsidR="00C877AF" w:rsidRPr="00E04B87">
        <w:rPr>
          <w:color w:val="005FA5" w:themeColor="accent1"/>
          <w:lang w:val="fr-CA"/>
        </w:rPr>
        <w:t>au sujet de</w:t>
      </w:r>
      <w:r w:rsidRPr="00E04B87">
        <w:rPr>
          <w:color w:val="005FA5" w:themeColor="accent1"/>
          <w:lang w:val="fr-CA"/>
        </w:rPr>
        <w:t xml:space="preserve"> toute plainte relative à la création ou </w:t>
      </w:r>
      <w:r w:rsidR="00C877AF" w:rsidRPr="00E04B87">
        <w:rPr>
          <w:color w:val="005FA5" w:themeColor="accent1"/>
          <w:lang w:val="fr-CA"/>
        </w:rPr>
        <w:t xml:space="preserve">à </w:t>
      </w:r>
      <w:r w:rsidRPr="00E04B87">
        <w:rPr>
          <w:color w:val="005FA5" w:themeColor="accent1"/>
          <w:lang w:val="fr-CA"/>
        </w:rPr>
        <w:t>la collecte, à l’exactitude, à l’utilisation, au partage ou à la divulgation, à la protection, à la conservation et à la destruction de renseignements personnels et communiquer ses conclusions au superviseur approprié et, s’il y a lieu, au conseil de Première Nation</w:t>
      </w:r>
    </w:p>
    <w:p w14:paraId="30D8D02B" w14:textId="098657BD" w:rsidR="004571A2" w:rsidRPr="00E04B87" w:rsidRDefault="00C877AF" w:rsidP="002136C4">
      <w:pPr>
        <w:pStyle w:val="ListParagraph"/>
        <w:spacing w:before="0"/>
        <w:rPr>
          <w:color w:val="005FA5" w:themeColor="accent1"/>
          <w:lang w:val="fr-CA"/>
        </w:rPr>
      </w:pPr>
      <w:proofErr w:type="gramStart"/>
      <w:r w:rsidRPr="00E04B87">
        <w:rPr>
          <w:color w:val="005FA5" w:themeColor="accent1"/>
          <w:lang w:val="fr-CA"/>
        </w:rPr>
        <w:t>recommander</w:t>
      </w:r>
      <w:proofErr w:type="gramEnd"/>
      <w:r w:rsidRPr="00E04B87">
        <w:rPr>
          <w:color w:val="005FA5" w:themeColor="accent1"/>
          <w:lang w:val="fr-CA"/>
        </w:rPr>
        <w:t xml:space="preserve"> la modification de politiques, de procédures et de pratiques en réponse à des préoccupations abordées dans des plaintes</w:t>
      </w:r>
    </w:p>
    <w:p w14:paraId="08B6D326" w14:textId="1E8F5FBF" w:rsidR="004571A2" w:rsidRPr="00E04B87" w:rsidRDefault="00C877AF" w:rsidP="002136C4">
      <w:pPr>
        <w:pStyle w:val="ListParagraph"/>
        <w:rPr>
          <w:color w:val="005FA5" w:themeColor="accent1"/>
          <w:lang w:val="fr-CA"/>
        </w:rPr>
      </w:pPr>
      <w:proofErr w:type="gramStart"/>
      <w:r w:rsidRPr="00E04B87">
        <w:rPr>
          <w:color w:val="005FA5" w:themeColor="accent1"/>
          <w:lang w:val="fr-CA"/>
        </w:rPr>
        <w:t>répondre</w:t>
      </w:r>
      <w:proofErr w:type="gramEnd"/>
      <w:r w:rsidRPr="00E04B87">
        <w:rPr>
          <w:color w:val="005FA5" w:themeColor="accent1"/>
          <w:lang w:val="fr-CA"/>
        </w:rPr>
        <w:t xml:space="preserve"> par écrit aux demandes d’accès aux renseignements personnels ou de correction de renseignements personnels</w:t>
      </w:r>
      <w:r w:rsidR="00127127" w:rsidRPr="00E04B87">
        <w:rPr>
          <w:color w:val="005FA5" w:themeColor="accent1"/>
          <w:lang w:val="fr-CA"/>
        </w:rPr>
        <w:t xml:space="preserve"> envoyées par des employés et des membres de la Première Nation dans les [x] jours </w:t>
      </w:r>
      <w:r w:rsidR="00180413" w:rsidRPr="00E04B87">
        <w:rPr>
          <w:color w:val="005FA5" w:themeColor="accent1"/>
          <w:lang w:val="fr-CA"/>
        </w:rPr>
        <w:t>suivant</w:t>
      </w:r>
      <w:r w:rsidR="00127127" w:rsidRPr="00E04B87">
        <w:rPr>
          <w:color w:val="005FA5" w:themeColor="accent1"/>
          <w:lang w:val="fr-CA"/>
        </w:rPr>
        <w:t xml:space="preserve"> la date de réception</w:t>
      </w:r>
    </w:p>
    <w:p w14:paraId="7D2B87A2" w14:textId="77777777" w:rsidR="00180413" w:rsidRPr="00E04B87" w:rsidRDefault="00180413" w:rsidP="00180413">
      <w:pPr>
        <w:pStyle w:val="Heading3"/>
        <w:rPr>
          <w:lang w:val="fr-CA"/>
        </w:rPr>
      </w:pPr>
      <w:r w:rsidRPr="00E04B87">
        <w:rPr>
          <w:lang w:val="fr-CA"/>
        </w:rPr>
        <w:t>Les employés, les sous-traitants et les bénévoles ont les responsabilités suivantes :</w:t>
      </w:r>
    </w:p>
    <w:p w14:paraId="5B057EEA" w14:textId="77777777" w:rsidR="00180413" w:rsidRPr="00E04B87" w:rsidRDefault="00180413" w:rsidP="00180413">
      <w:pPr>
        <w:pStyle w:val="ListParagraph"/>
        <w:rPr>
          <w:lang w:val="fr-CA"/>
        </w:rPr>
      </w:pPr>
      <w:proofErr w:type="gramStart"/>
      <w:r w:rsidRPr="00E04B87">
        <w:rPr>
          <w:lang w:val="fr-CA"/>
        </w:rPr>
        <w:t>respecter</w:t>
      </w:r>
      <w:proofErr w:type="gramEnd"/>
      <w:r w:rsidRPr="00E04B87">
        <w:rPr>
          <w:lang w:val="fr-CA"/>
        </w:rPr>
        <w:t xml:space="preserve"> la politique établie</w:t>
      </w:r>
    </w:p>
    <w:p w14:paraId="7CE2C4C6" w14:textId="6C754C57" w:rsidR="00180413" w:rsidRPr="00E04B87" w:rsidRDefault="00180413" w:rsidP="00180413">
      <w:pPr>
        <w:pStyle w:val="ListParagraph"/>
        <w:rPr>
          <w:lang w:val="fr-CA"/>
        </w:rPr>
      </w:pPr>
      <w:proofErr w:type="gramStart"/>
      <w:r w:rsidRPr="00E04B87">
        <w:rPr>
          <w:lang w:val="fr-CA"/>
        </w:rPr>
        <w:t>signaler</w:t>
      </w:r>
      <w:proofErr w:type="gramEnd"/>
      <w:r w:rsidRPr="00E04B87">
        <w:rPr>
          <w:lang w:val="fr-CA"/>
        </w:rPr>
        <w:t xml:space="preserve"> immédiatement à leur superviseur immédiat tout manquement à la protection des renseignements personnels</w:t>
      </w:r>
    </w:p>
    <w:p w14:paraId="73ACC6A1" w14:textId="1828D5B6" w:rsidR="004571A2" w:rsidRPr="00E04B87" w:rsidRDefault="006521DD" w:rsidP="004571A2">
      <w:pPr>
        <w:pStyle w:val="14ptCAPS"/>
        <w:rPr>
          <w:lang w:val="fr-CA"/>
        </w:rPr>
      </w:pPr>
      <w:r w:rsidRPr="00E04B87">
        <w:rPr>
          <w:lang w:val="fr-CA"/>
        </w:rPr>
        <w:t>PROCÉDURES ADMINISTRATIVES</w:t>
      </w:r>
    </w:p>
    <w:p w14:paraId="464D05A0" w14:textId="40E57E05" w:rsidR="004571A2" w:rsidRPr="00E04B87" w:rsidRDefault="006521DD" w:rsidP="004571A2">
      <w:pPr>
        <w:pStyle w:val="14ptheading"/>
        <w:rPr>
          <w:lang w:val="fr-CA"/>
        </w:rPr>
      </w:pPr>
      <w:r w:rsidRPr="00E04B87">
        <w:rPr>
          <w:lang w:val="fr-CA"/>
        </w:rPr>
        <w:t>Procédures</w:t>
      </w:r>
    </w:p>
    <w:p w14:paraId="13DD9DC6" w14:textId="2F0FCCB3" w:rsidR="004571A2" w:rsidRPr="00E04B87" w:rsidRDefault="007B62CD" w:rsidP="004571A2">
      <w:pPr>
        <w:pStyle w:val="Heading2"/>
        <w:rPr>
          <w:lang w:val="fr-CA"/>
        </w:rPr>
      </w:pPr>
      <w:bookmarkStart w:id="63" w:name="_Toc17376451"/>
      <w:r w:rsidRPr="00E04B87">
        <w:rPr>
          <w:lang w:val="fr-CA"/>
        </w:rPr>
        <w:t>Reddition de comptes</w:t>
      </w:r>
      <w:bookmarkEnd w:id="63"/>
    </w:p>
    <w:p w14:paraId="37FA75D2" w14:textId="4094FBA8" w:rsidR="004571A2" w:rsidRPr="00E04B87" w:rsidRDefault="0060674A" w:rsidP="004571A2">
      <w:pPr>
        <w:rPr>
          <w:color w:val="018A27" w:themeColor="accent2"/>
          <w:lang w:val="fr-CA"/>
        </w:rPr>
      </w:pPr>
      <w:r w:rsidRPr="00E04B87">
        <w:rPr>
          <w:color w:val="018A27" w:themeColor="accent2"/>
          <w:lang w:val="fr-CA"/>
        </w:rPr>
        <w:t>Le directeur général doit désigner un employé qui veillera à la mise en œuvre des principes énoncés dans la présente politique.</w:t>
      </w:r>
    </w:p>
    <w:p w14:paraId="1E86B84E" w14:textId="12E5F8E6" w:rsidR="004571A2" w:rsidRPr="00E04B87" w:rsidRDefault="0060674A" w:rsidP="004571A2">
      <w:pPr>
        <w:pStyle w:val="Heading2"/>
        <w:rPr>
          <w:lang w:val="fr-CA"/>
        </w:rPr>
      </w:pPr>
      <w:bookmarkStart w:id="64" w:name="_Toc17376452"/>
      <w:r w:rsidRPr="00E04B87">
        <w:rPr>
          <w:lang w:val="fr-CA"/>
        </w:rPr>
        <w:t>Communication du motif</w:t>
      </w:r>
      <w:bookmarkEnd w:id="64"/>
    </w:p>
    <w:p w14:paraId="315958F6" w14:textId="501BDB1C" w:rsidR="004571A2" w:rsidRPr="00E04B87" w:rsidRDefault="0060674A" w:rsidP="004571A2">
      <w:pPr>
        <w:rPr>
          <w:color w:val="018A27" w:themeColor="accent2"/>
          <w:lang w:val="fr-CA"/>
        </w:rPr>
      </w:pPr>
      <w:r w:rsidRPr="00E04B87">
        <w:rPr>
          <w:color w:val="018A27" w:themeColor="accent2"/>
          <w:lang w:val="fr-CA"/>
        </w:rPr>
        <w:t xml:space="preserve">Les raisons pour lesquelles des renseignements personnels sont recueillis doivent être communiquées aux personnes concernées avant </w:t>
      </w:r>
      <w:r w:rsidR="005E6EA5" w:rsidRPr="00E04B87">
        <w:rPr>
          <w:color w:val="018A27" w:themeColor="accent2"/>
          <w:lang w:val="fr-CA"/>
        </w:rPr>
        <w:t>leur</w:t>
      </w:r>
      <w:r w:rsidRPr="00E04B87">
        <w:rPr>
          <w:color w:val="018A27" w:themeColor="accent2"/>
          <w:lang w:val="fr-CA"/>
        </w:rPr>
        <w:t xml:space="preserve"> collecte. Selon le moyen </w:t>
      </w:r>
      <w:r w:rsidR="005E6EA5" w:rsidRPr="00E04B87">
        <w:rPr>
          <w:color w:val="018A27" w:themeColor="accent2"/>
          <w:lang w:val="fr-CA"/>
        </w:rPr>
        <w:t>par lequel les</w:t>
      </w:r>
      <w:r w:rsidRPr="00E04B87">
        <w:rPr>
          <w:color w:val="018A27" w:themeColor="accent2"/>
          <w:lang w:val="fr-CA"/>
        </w:rPr>
        <w:t xml:space="preserve"> renseignements</w:t>
      </w:r>
      <w:r w:rsidR="005E6EA5" w:rsidRPr="00E04B87">
        <w:rPr>
          <w:color w:val="018A27" w:themeColor="accent2"/>
          <w:lang w:val="fr-CA"/>
        </w:rPr>
        <w:t xml:space="preserve"> sont recueillis</w:t>
      </w:r>
      <w:r w:rsidRPr="00E04B87">
        <w:rPr>
          <w:color w:val="018A27" w:themeColor="accent2"/>
          <w:lang w:val="fr-CA"/>
        </w:rPr>
        <w:t xml:space="preserve">, le motif peut être communiqué </w:t>
      </w:r>
      <w:r w:rsidR="00034096" w:rsidRPr="00E04B87">
        <w:rPr>
          <w:color w:val="018A27" w:themeColor="accent2"/>
          <w:lang w:val="fr-CA"/>
        </w:rPr>
        <w:t>verbalement</w:t>
      </w:r>
      <w:r w:rsidRPr="00E04B87">
        <w:rPr>
          <w:color w:val="018A27" w:themeColor="accent2"/>
          <w:lang w:val="fr-CA"/>
        </w:rPr>
        <w:t xml:space="preserve"> ou par écrit. </w:t>
      </w:r>
      <w:r w:rsidR="00250E4F">
        <w:rPr>
          <w:color w:val="018A27" w:themeColor="accent2"/>
          <w:lang w:val="fr-CA"/>
        </w:rPr>
        <w:t xml:space="preserve">Par </w:t>
      </w:r>
      <w:r w:rsidRPr="00E04B87">
        <w:rPr>
          <w:color w:val="018A27" w:themeColor="accent2"/>
          <w:lang w:val="fr-CA"/>
        </w:rPr>
        <w:t xml:space="preserve">exemple, un formulaire de demande </w:t>
      </w:r>
      <w:r w:rsidR="00250E4F">
        <w:rPr>
          <w:color w:val="018A27" w:themeColor="accent2"/>
          <w:lang w:val="fr-CA"/>
        </w:rPr>
        <w:t>peut</w:t>
      </w:r>
      <w:r w:rsidRPr="00E04B87">
        <w:rPr>
          <w:color w:val="018A27" w:themeColor="accent2"/>
          <w:lang w:val="fr-CA"/>
        </w:rPr>
        <w:t xml:space="preserve"> comporter un avis expliquant pourquoi des renseignements personnels doivent être recueillis. </w:t>
      </w:r>
    </w:p>
    <w:p w14:paraId="4BB699ED" w14:textId="20B694C7" w:rsidR="004571A2" w:rsidRPr="00E04B87" w:rsidRDefault="005E6EA5" w:rsidP="004571A2">
      <w:pPr>
        <w:rPr>
          <w:lang w:val="fr-CA"/>
        </w:rPr>
      </w:pPr>
      <w:r w:rsidRPr="00E04B87">
        <w:rPr>
          <w:color w:val="018A27" w:themeColor="accent2"/>
          <w:lang w:val="fr-CA"/>
        </w:rPr>
        <w:t xml:space="preserve">Les personnes recueillant les renseignements personnels doivent être en mesure d’expliquer les raisons pour lesquelles les renseignements doivent être recueillis. </w:t>
      </w:r>
    </w:p>
    <w:p w14:paraId="373BFAA8" w14:textId="697AE446" w:rsidR="004571A2" w:rsidRPr="00E04B87" w:rsidRDefault="004571A2" w:rsidP="004571A2">
      <w:pPr>
        <w:pStyle w:val="Heading2"/>
        <w:rPr>
          <w:lang w:val="fr-CA"/>
        </w:rPr>
      </w:pPr>
      <w:bookmarkStart w:id="65" w:name="_Toc17376453"/>
      <w:r w:rsidRPr="00E04B87">
        <w:rPr>
          <w:lang w:val="fr-CA"/>
        </w:rPr>
        <w:t>Consent</w:t>
      </w:r>
      <w:r w:rsidR="001B084B" w:rsidRPr="00E04B87">
        <w:rPr>
          <w:lang w:val="fr-CA"/>
        </w:rPr>
        <w:t>ement</w:t>
      </w:r>
      <w:bookmarkEnd w:id="65"/>
      <w:r w:rsidRPr="00E04B87">
        <w:rPr>
          <w:lang w:val="fr-CA"/>
        </w:rPr>
        <w:t xml:space="preserve"> </w:t>
      </w:r>
    </w:p>
    <w:p w14:paraId="130BC58B" w14:textId="2097E2CD" w:rsidR="004571A2" w:rsidRPr="00E04B87" w:rsidRDefault="001B084B" w:rsidP="004571A2">
      <w:pPr>
        <w:rPr>
          <w:color w:val="018A27" w:themeColor="accent2"/>
          <w:lang w:val="fr-CA"/>
        </w:rPr>
      </w:pPr>
      <w:r w:rsidRPr="00E04B87">
        <w:rPr>
          <w:color w:val="018A27" w:themeColor="accent2"/>
          <w:lang w:val="fr-CA"/>
        </w:rPr>
        <w:t xml:space="preserve">Sous réserve de rares exceptions, la Première Nation doit obtenir le consentement </w:t>
      </w:r>
      <w:r w:rsidR="00BF2A2A" w:rsidRPr="00E04B87">
        <w:rPr>
          <w:color w:val="018A27" w:themeColor="accent2"/>
          <w:lang w:val="fr-CA"/>
        </w:rPr>
        <w:t>verbal ou écrit d’une</w:t>
      </w:r>
      <w:r w:rsidRPr="00E04B87">
        <w:rPr>
          <w:color w:val="018A27" w:themeColor="accent2"/>
          <w:lang w:val="fr-CA"/>
        </w:rPr>
        <w:t xml:space="preserve"> personne avant de procéder à la collecte de renseignements personnels</w:t>
      </w:r>
      <w:r w:rsidR="00BF2A2A" w:rsidRPr="00E04B87">
        <w:rPr>
          <w:color w:val="018A27" w:themeColor="accent2"/>
          <w:lang w:val="fr-CA"/>
        </w:rPr>
        <w:t xml:space="preserve"> à son sujet. Pour donner son consentement, la personne doit être informée des raisons pour lesquelles les renseignements </w:t>
      </w:r>
      <w:r w:rsidR="005B6BB0" w:rsidRPr="00E04B87">
        <w:rPr>
          <w:color w:val="018A27" w:themeColor="accent2"/>
          <w:lang w:val="fr-CA"/>
        </w:rPr>
        <w:t>sont</w:t>
      </w:r>
      <w:r w:rsidR="00BF2A2A" w:rsidRPr="00E04B87">
        <w:rPr>
          <w:color w:val="018A27" w:themeColor="accent2"/>
          <w:lang w:val="fr-CA"/>
        </w:rPr>
        <w:t xml:space="preserve"> recueillis et de la façon dont ils seront utilisés</w:t>
      </w:r>
      <w:r w:rsidR="00395175" w:rsidRPr="00E04B87">
        <w:rPr>
          <w:color w:val="018A27" w:themeColor="accent2"/>
          <w:lang w:val="fr-CA"/>
        </w:rPr>
        <w:t xml:space="preserve"> et divulgués</w:t>
      </w:r>
      <w:r w:rsidR="00BF2A2A" w:rsidRPr="00E04B87">
        <w:rPr>
          <w:color w:val="018A27" w:themeColor="accent2"/>
          <w:lang w:val="fr-CA"/>
        </w:rPr>
        <w:t xml:space="preserve">. </w:t>
      </w:r>
      <w:r w:rsidRPr="00E04B87">
        <w:rPr>
          <w:color w:val="018A27" w:themeColor="accent2"/>
          <w:lang w:val="fr-CA"/>
        </w:rPr>
        <w:t xml:space="preserve">  </w:t>
      </w:r>
    </w:p>
    <w:p w14:paraId="45A6160D" w14:textId="646AC750" w:rsidR="004571A2" w:rsidRPr="00E04B87" w:rsidRDefault="005B6BB0" w:rsidP="004571A2">
      <w:pPr>
        <w:rPr>
          <w:color w:val="018A27" w:themeColor="accent2"/>
          <w:lang w:val="fr-CA"/>
        </w:rPr>
      </w:pPr>
      <w:r w:rsidRPr="00E04B87">
        <w:rPr>
          <w:color w:val="018A27" w:themeColor="accent2"/>
          <w:lang w:val="fr-CA"/>
        </w:rPr>
        <w:t xml:space="preserve">Le consentement doit être formulé de façon telle que la personne peut raisonnablement comprendre l’usage qui sera fait des renseignements ou la façon dont ils seront divulgués. </w:t>
      </w:r>
      <w:r w:rsidR="0042077C" w:rsidRPr="00E04B87">
        <w:rPr>
          <w:color w:val="018A27" w:themeColor="accent2"/>
          <w:lang w:val="fr-CA"/>
        </w:rPr>
        <w:t xml:space="preserve">Il est interdit de tromper une personne pour obtenir son consentement. </w:t>
      </w:r>
    </w:p>
    <w:p w14:paraId="0FA8BF2D" w14:textId="067330F7" w:rsidR="004571A2" w:rsidRPr="00E04B87" w:rsidRDefault="00406F61" w:rsidP="004571A2">
      <w:pPr>
        <w:rPr>
          <w:color w:val="018A27" w:themeColor="accent2"/>
          <w:lang w:val="fr-CA"/>
        </w:rPr>
      </w:pPr>
      <w:r w:rsidRPr="00E04B87">
        <w:rPr>
          <w:color w:val="018A27" w:themeColor="accent2"/>
          <w:lang w:val="fr-CA"/>
        </w:rPr>
        <w:t>Dans de rares circonstances, les renseignements personnels peuvent être recueillis, utilisés ou divulgués sans le consentement d’une personne ou sans qu’elle en soit informée</w:t>
      </w:r>
      <w:r w:rsidR="003534F1" w:rsidRPr="00E04B87">
        <w:rPr>
          <w:color w:val="018A27" w:themeColor="accent2"/>
          <w:lang w:val="fr-CA"/>
        </w:rPr>
        <w:t>, notamment s’il s’agit</w:t>
      </w:r>
      <w:r w:rsidRPr="00E04B87">
        <w:rPr>
          <w:color w:val="018A27" w:themeColor="accent2"/>
          <w:lang w:val="fr-CA"/>
        </w:rPr>
        <w:t xml:space="preserve"> d’obligations juridiques ou d</w:t>
      </w:r>
      <w:r w:rsidR="003534F1" w:rsidRPr="00E04B87">
        <w:rPr>
          <w:color w:val="018A27" w:themeColor="accent2"/>
          <w:lang w:val="fr-CA"/>
        </w:rPr>
        <w:t>’atteinte</w:t>
      </w:r>
      <w:r w:rsidR="00673FB0" w:rsidRPr="00E04B87">
        <w:rPr>
          <w:color w:val="018A27" w:themeColor="accent2"/>
          <w:lang w:val="fr-CA"/>
        </w:rPr>
        <w:t>s</w:t>
      </w:r>
      <w:r w:rsidR="003534F1" w:rsidRPr="00E04B87">
        <w:rPr>
          <w:color w:val="018A27" w:themeColor="accent2"/>
          <w:lang w:val="fr-CA"/>
        </w:rPr>
        <w:t xml:space="preserve"> à la </w:t>
      </w:r>
      <w:r w:rsidRPr="00E04B87">
        <w:rPr>
          <w:color w:val="018A27" w:themeColor="accent2"/>
          <w:lang w:val="fr-CA"/>
        </w:rPr>
        <w:t xml:space="preserve">sécurité </w:t>
      </w:r>
      <w:r w:rsidR="003534F1" w:rsidRPr="00E04B87">
        <w:rPr>
          <w:color w:val="018A27" w:themeColor="accent2"/>
          <w:lang w:val="fr-CA"/>
        </w:rPr>
        <w:t>rendant</w:t>
      </w:r>
      <w:r w:rsidRPr="00E04B87">
        <w:rPr>
          <w:color w:val="018A27" w:themeColor="accent2"/>
          <w:lang w:val="fr-CA"/>
        </w:rPr>
        <w:t xml:space="preserve"> impossible ou irréaliste </w:t>
      </w:r>
      <w:r w:rsidR="00395175" w:rsidRPr="00E04B87">
        <w:rPr>
          <w:color w:val="018A27" w:themeColor="accent2"/>
          <w:lang w:val="fr-CA"/>
        </w:rPr>
        <w:t>d’obtenir le</w:t>
      </w:r>
      <w:r w:rsidRPr="00E04B87">
        <w:rPr>
          <w:color w:val="018A27" w:themeColor="accent2"/>
          <w:lang w:val="fr-CA"/>
        </w:rPr>
        <w:t xml:space="preserve"> consentement de la personne.</w:t>
      </w:r>
    </w:p>
    <w:p w14:paraId="57BADBA4" w14:textId="3FB6AE5A" w:rsidR="004571A2" w:rsidRPr="00E04B87" w:rsidRDefault="00673FB0" w:rsidP="004571A2">
      <w:pPr>
        <w:rPr>
          <w:color w:val="018A27" w:themeColor="accent2"/>
          <w:lang w:val="fr-CA"/>
        </w:rPr>
      </w:pPr>
      <w:r w:rsidRPr="00E04B87">
        <w:rPr>
          <w:color w:val="018A27" w:themeColor="accent2"/>
          <w:lang w:val="fr-CA"/>
        </w:rPr>
        <w:t xml:space="preserve">S’il est prévu que </w:t>
      </w:r>
      <w:r w:rsidR="00395175" w:rsidRPr="00E04B87">
        <w:rPr>
          <w:color w:val="018A27" w:themeColor="accent2"/>
          <w:lang w:val="fr-CA"/>
        </w:rPr>
        <w:t>d</w:t>
      </w:r>
      <w:r w:rsidRPr="00E04B87">
        <w:rPr>
          <w:color w:val="018A27" w:themeColor="accent2"/>
          <w:lang w:val="fr-CA"/>
        </w:rPr>
        <w:t>es renseignements personnels soient utilisés ou divulgués à d’autres fins que celles énoncées lors de la collecte initiale</w:t>
      </w:r>
      <w:r w:rsidR="00045A80" w:rsidRPr="00E04B87">
        <w:rPr>
          <w:color w:val="018A27" w:themeColor="accent2"/>
          <w:lang w:val="fr-CA"/>
        </w:rPr>
        <w:t xml:space="preserve"> et </w:t>
      </w:r>
      <w:r w:rsidRPr="00E04B87">
        <w:rPr>
          <w:color w:val="018A27" w:themeColor="accent2"/>
          <w:lang w:val="fr-CA"/>
        </w:rPr>
        <w:t xml:space="preserve">pour un motif </w:t>
      </w:r>
      <w:r w:rsidR="00395175" w:rsidRPr="00E04B87">
        <w:rPr>
          <w:color w:val="018A27" w:themeColor="accent2"/>
          <w:lang w:val="fr-CA"/>
        </w:rPr>
        <w:t>non lié au</w:t>
      </w:r>
      <w:r w:rsidRPr="00E04B87">
        <w:rPr>
          <w:color w:val="018A27" w:themeColor="accent2"/>
          <w:lang w:val="fr-CA"/>
        </w:rPr>
        <w:t xml:space="preserve"> motif initial, il est nécessaire d’obtenir le consentement de la personne. </w:t>
      </w:r>
    </w:p>
    <w:p w14:paraId="3689088E" w14:textId="4FAC7733" w:rsidR="004571A2" w:rsidRPr="00E04B87" w:rsidRDefault="00045A80" w:rsidP="004571A2">
      <w:pPr>
        <w:rPr>
          <w:color w:val="018A27" w:themeColor="accent2"/>
          <w:lang w:val="fr-CA"/>
        </w:rPr>
      </w:pPr>
      <w:r w:rsidRPr="00E04B87">
        <w:rPr>
          <w:color w:val="018A27" w:themeColor="accent2"/>
          <w:lang w:val="fr-CA"/>
        </w:rPr>
        <w:t xml:space="preserve">Il existe </w:t>
      </w:r>
      <w:r w:rsidR="00924EA8" w:rsidRPr="00E04B87">
        <w:rPr>
          <w:color w:val="018A27" w:themeColor="accent2"/>
          <w:lang w:val="fr-CA"/>
        </w:rPr>
        <w:t>plusieurs façons</w:t>
      </w:r>
      <w:r w:rsidRPr="00E04B87">
        <w:rPr>
          <w:color w:val="018A27" w:themeColor="accent2"/>
          <w:lang w:val="fr-CA"/>
        </w:rPr>
        <w:t xml:space="preserve"> pour une personne de donner son consentement, par exemple :</w:t>
      </w:r>
    </w:p>
    <w:p w14:paraId="421A1198" w14:textId="7A88837A" w:rsidR="004571A2" w:rsidRPr="00E04B87" w:rsidRDefault="00045A80" w:rsidP="002E3F4E">
      <w:pPr>
        <w:pStyle w:val="ListParagraph"/>
        <w:rPr>
          <w:color w:val="018A27" w:themeColor="accent2"/>
          <w:lang w:val="fr-CA"/>
        </w:rPr>
      </w:pPr>
      <w:proofErr w:type="gramStart"/>
      <w:r w:rsidRPr="00E04B87">
        <w:rPr>
          <w:color w:val="018A27" w:themeColor="accent2"/>
          <w:lang w:val="fr-CA"/>
        </w:rPr>
        <w:t>un</w:t>
      </w:r>
      <w:proofErr w:type="gramEnd"/>
      <w:r w:rsidRPr="00E04B87">
        <w:rPr>
          <w:color w:val="018A27" w:themeColor="accent2"/>
          <w:lang w:val="fr-CA"/>
        </w:rPr>
        <w:t xml:space="preserve"> formulaire peut être utilisé pour demander le consentement, recueillir des renseignements et informer la personne de l’usage qui sera fait des renseignements fournis; en remplissant et en signant ce formulaire, la personne donne son consentement à la collecte des renseignements </w:t>
      </w:r>
      <w:r w:rsidR="00395175" w:rsidRPr="00E04B87">
        <w:rPr>
          <w:color w:val="018A27" w:themeColor="accent2"/>
          <w:lang w:val="fr-CA"/>
        </w:rPr>
        <w:t xml:space="preserve">et à leur utilisation </w:t>
      </w:r>
      <w:r w:rsidRPr="00E04B87">
        <w:rPr>
          <w:color w:val="018A27" w:themeColor="accent2"/>
          <w:lang w:val="fr-CA"/>
        </w:rPr>
        <w:t>aux fins énoncées</w:t>
      </w:r>
    </w:p>
    <w:p w14:paraId="7D21BE2B" w14:textId="57B1A49A" w:rsidR="004571A2" w:rsidRPr="00E04B87" w:rsidRDefault="009B363A" w:rsidP="002E3F4E">
      <w:pPr>
        <w:pStyle w:val="ListParagraph"/>
        <w:rPr>
          <w:color w:val="018A27" w:themeColor="accent2"/>
          <w:lang w:val="fr-CA"/>
        </w:rPr>
      </w:pPr>
      <w:proofErr w:type="gramStart"/>
      <w:r w:rsidRPr="00E04B87">
        <w:rPr>
          <w:color w:val="018A27" w:themeColor="accent2"/>
          <w:lang w:val="fr-CA"/>
        </w:rPr>
        <w:t>le</w:t>
      </w:r>
      <w:proofErr w:type="gramEnd"/>
      <w:r w:rsidRPr="00E04B87">
        <w:rPr>
          <w:color w:val="018A27" w:themeColor="accent2"/>
          <w:lang w:val="fr-CA"/>
        </w:rPr>
        <w:t xml:space="preserve"> consentement peut être donné verbalement</w:t>
      </w:r>
    </w:p>
    <w:p w14:paraId="1289828B" w14:textId="5708747A" w:rsidR="004571A2" w:rsidRPr="00E04B87" w:rsidRDefault="00C87A96" w:rsidP="002E3F4E">
      <w:pPr>
        <w:pStyle w:val="ListParagraph"/>
        <w:rPr>
          <w:color w:val="018A27" w:themeColor="accent2"/>
          <w:lang w:val="fr-CA"/>
        </w:rPr>
      </w:pPr>
      <w:proofErr w:type="gramStart"/>
      <w:r w:rsidRPr="00E04B87">
        <w:rPr>
          <w:color w:val="018A27" w:themeColor="accent2"/>
          <w:lang w:val="fr-CA"/>
        </w:rPr>
        <w:t>le</w:t>
      </w:r>
      <w:proofErr w:type="gramEnd"/>
      <w:r w:rsidRPr="00E04B87">
        <w:rPr>
          <w:color w:val="018A27" w:themeColor="accent2"/>
          <w:lang w:val="fr-CA"/>
        </w:rPr>
        <w:t xml:space="preserve"> consentement peut être donné de façon électronique</w:t>
      </w:r>
    </w:p>
    <w:p w14:paraId="4061B8FB" w14:textId="7964B57E" w:rsidR="004571A2" w:rsidRPr="00E04B87" w:rsidRDefault="00262FD1" w:rsidP="004571A2">
      <w:pPr>
        <w:rPr>
          <w:lang w:val="fr-CA"/>
        </w:rPr>
      </w:pPr>
      <w:r w:rsidRPr="00E04B87">
        <w:rPr>
          <w:color w:val="018A27" w:themeColor="accent2"/>
          <w:lang w:val="fr-CA"/>
        </w:rPr>
        <w:t xml:space="preserve">Une personne peut retirer son consentement en tout temps, sous réserve des </w:t>
      </w:r>
      <w:r w:rsidR="00924EA8" w:rsidRPr="00E04B87">
        <w:rPr>
          <w:color w:val="018A27" w:themeColor="accent2"/>
          <w:lang w:val="fr-CA"/>
        </w:rPr>
        <w:t>restrictions</w:t>
      </w:r>
      <w:r w:rsidRPr="00E04B87">
        <w:rPr>
          <w:color w:val="018A27" w:themeColor="accent2"/>
          <w:lang w:val="fr-CA"/>
        </w:rPr>
        <w:t xml:space="preserve"> juridiques ou contractuelles et d’un préavis raisonnable.</w:t>
      </w:r>
    </w:p>
    <w:p w14:paraId="00024EA7" w14:textId="7C22D61E" w:rsidR="004571A2" w:rsidRPr="00E04B87" w:rsidRDefault="007D78CD" w:rsidP="002E3F4E">
      <w:pPr>
        <w:pStyle w:val="Heading2"/>
        <w:rPr>
          <w:lang w:val="fr-CA"/>
        </w:rPr>
      </w:pPr>
      <w:bookmarkStart w:id="66" w:name="_Toc17376454"/>
      <w:r w:rsidRPr="00E04B87">
        <w:rPr>
          <w:lang w:val="fr-CA"/>
        </w:rPr>
        <w:t>Collecte de r</w:t>
      </w:r>
      <w:r w:rsidR="00262FD1" w:rsidRPr="00E04B87">
        <w:rPr>
          <w:lang w:val="fr-CA"/>
        </w:rPr>
        <w:t>enseignements nécessaires</w:t>
      </w:r>
      <w:bookmarkEnd w:id="66"/>
    </w:p>
    <w:p w14:paraId="73900B7F" w14:textId="78D63DD6" w:rsidR="004571A2" w:rsidRPr="00E04B87" w:rsidRDefault="00262FD1" w:rsidP="004571A2">
      <w:pPr>
        <w:rPr>
          <w:color w:val="018A27" w:themeColor="accent2"/>
          <w:lang w:val="fr-CA"/>
        </w:rPr>
      </w:pPr>
      <w:r w:rsidRPr="00E04B87">
        <w:rPr>
          <w:color w:val="018A27" w:themeColor="accent2"/>
          <w:lang w:val="fr-CA"/>
        </w:rPr>
        <w:t xml:space="preserve">La Première Nation doit </w:t>
      </w:r>
      <w:r w:rsidR="00CA4D25" w:rsidRPr="00E04B87">
        <w:rPr>
          <w:color w:val="018A27" w:themeColor="accent2"/>
          <w:lang w:val="fr-CA"/>
        </w:rPr>
        <w:t>adopter un comportement</w:t>
      </w:r>
      <w:r w:rsidRPr="00E04B87">
        <w:rPr>
          <w:color w:val="018A27" w:themeColor="accent2"/>
          <w:lang w:val="fr-CA"/>
        </w:rPr>
        <w:t xml:space="preserve"> éthique dans la collecte de renseignements personnels. La quantité et le type de renseignements recueillis doivent se limiter aux renseignements nécessaires pour répondre à l’objectif énoncé. </w:t>
      </w:r>
    </w:p>
    <w:p w14:paraId="7815F521" w14:textId="5DF441AB" w:rsidR="004571A2" w:rsidRPr="00E04B87" w:rsidRDefault="00CA4D25" w:rsidP="002E3F4E">
      <w:pPr>
        <w:pStyle w:val="Heading2"/>
        <w:rPr>
          <w:lang w:val="fr-CA"/>
        </w:rPr>
      </w:pPr>
      <w:bookmarkStart w:id="67" w:name="_Toc17376455"/>
      <w:r w:rsidRPr="00E04B87">
        <w:rPr>
          <w:lang w:val="fr-CA"/>
        </w:rPr>
        <w:t>Restrictions relatives à l’utilisation, à la divulgation et à la conservation</w:t>
      </w:r>
      <w:bookmarkEnd w:id="67"/>
    </w:p>
    <w:p w14:paraId="7D69F3A3" w14:textId="17C3D1F8" w:rsidR="004571A2" w:rsidRPr="00E04B87" w:rsidRDefault="00961F38" w:rsidP="004571A2">
      <w:pPr>
        <w:rPr>
          <w:color w:val="018A27" w:themeColor="accent2"/>
          <w:lang w:val="fr-CA"/>
        </w:rPr>
      </w:pPr>
      <w:r w:rsidRPr="00E04B87">
        <w:rPr>
          <w:color w:val="018A27" w:themeColor="accent2"/>
          <w:lang w:val="fr-CA"/>
        </w:rPr>
        <w:t xml:space="preserve">Les renseignements personnels ne peuvent être utilisés et divulgués </w:t>
      </w:r>
      <w:r w:rsidR="005821F4" w:rsidRPr="00E04B87">
        <w:rPr>
          <w:color w:val="018A27" w:themeColor="accent2"/>
          <w:lang w:val="fr-CA"/>
        </w:rPr>
        <w:t>qu’aux</w:t>
      </w:r>
      <w:r w:rsidRPr="00E04B87">
        <w:rPr>
          <w:color w:val="018A27" w:themeColor="accent2"/>
          <w:lang w:val="fr-CA"/>
        </w:rPr>
        <w:t xml:space="preserve"> fins </w:t>
      </w:r>
      <w:r w:rsidR="005821F4" w:rsidRPr="00E04B87">
        <w:rPr>
          <w:color w:val="018A27" w:themeColor="accent2"/>
          <w:lang w:val="fr-CA"/>
        </w:rPr>
        <w:t>pour lesquelles</w:t>
      </w:r>
      <w:r w:rsidRPr="00E04B87">
        <w:rPr>
          <w:color w:val="018A27" w:themeColor="accent2"/>
          <w:lang w:val="fr-CA"/>
        </w:rPr>
        <w:t xml:space="preserve"> ils ont été recueillis, plus précisément :</w:t>
      </w:r>
    </w:p>
    <w:p w14:paraId="0C8D0F8B" w14:textId="37E9AB0E" w:rsidR="005821F4" w:rsidRPr="00E04B87" w:rsidRDefault="005821F4" w:rsidP="0092506F">
      <w:pPr>
        <w:pStyle w:val="ListParagraph"/>
        <w:rPr>
          <w:color w:val="018A27" w:themeColor="accent2"/>
          <w:lang w:val="fr-CA"/>
        </w:rPr>
      </w:pPr>
      <w:proofErr w:type="gramStart"/>
      <w:r w:rsidRPr="00E04B87">
        <w:rPr>
          <w:color w:val="018A27" w:themeColor="accent2"/>
          <w:lang w:val="fr-CA"/>
        </w:rPr>
        <w:t>de</w:t>
      </w:r>
      <w:proofErr w:type="gramEnd"/>
      <w:r w:rsidRPr="00E04B87">
        <w:rPr>
          <w:color w:val="018A27" w:themeColor="accent2"/>
          <w:lang w:val="fr-CA"/>
        </w:rPr>
        <w:t xml:space="preserve"> façon conforme à la collecte de renseignements personnels initiale</w:t>
      </w:r>
    </w:p>
    <w:p w14:paraId="64B4AFC5" w14:textId="24D5FFE2" w:rsidR="004571A2" w:rsidRPr="00E04B87" w:rsidRDefault="005821F4" w:rsidP="0092506F">
      <w:pPr>
        <w:pStyle w:val="ListParagraph"/>
        <w:rPr>
          <w:color w:val="018A27" w:themeColor="accent2"/>
          <w:lang w:val="fr-CA"/>
        </w:rPr>
      </w:pPr>
      <w:proofErr w:type="gramStart"/>
      <w:r w:rsidRPr="00E04B87">
        <w:rPr>
          <w:color w:val="018A27" w:themeColor="accent2"/>
          <w:lang w:val="fr-CA"/>
        </w:rPr>
        <w:t>lorsque</w:t>
      </w:r>
      <w:proofErr w:type="gramEnd"/>
      <w:r w:rsidRPr="00E04B87">
        <w:rPr>
          <w:color w:val="018A27" w:themeColor="accent2"/>
          <w:lang w:val="fr-CA"/>
        </w:rPr>
        <w:t xml:space="preserve"> la personne a donné son consentement</w:t>
      </w:r>
    </w:p>
    <w:p w14:paraId="02C806A4" w14:textId="6E922CC9" w:rsidR="004571A2" w:rsidRPr="00E04B87" w:rsidRDefault="005821F4" w:rsidP="0092506F">
      <w:pPr>
        <w:pStyle w:val="ListParagraph"/>
        <w:rPr>
          <w:color w:val="018A27" w:themeColor="accent2"/>
          <w:lang w:val="fr-CA"/>
        </w:rPr>
      </w:pPr>
      <w:proofErr w:type="gramStart"/>
      <w:r w:rsidRPr="00E04B87">
        <w:rPr>
          <w:color w:val="018A27" w:themeColor="accent2"/>
          <w:lang w:val="fr-CA"/>
        </w:rPr>
        <w:t>afin</w:t>
      </w:r>
      <w:proofErr w:type="gramEnd"/>
      <w:r w:rsidRPr="00E04B87">
        <w:rPr>
          <w:color w:val="018A27" w:themeColor="accent2"/>
          <w:lang w:val="fr-CA"/>
        </w:rPr>
        <w:t xml:space="preserve"> de se conformer à une citation à comparaître, à un mandat ou à une ordonnance d’un tribunal, d’une personne ou d’un organisme ayant le pouvoir de demander la communication de renseignements ou encore pour se conformer aux règles de procédure relatives à la communication des renseignements</w:t>
      </w:r>
    </w:p>
    <w:p w14:paraId="54A45703" w14:textId="4C6E8C40" w:rsidR="004571A2" w:rsidRPr="00E04B87" w:rsidRDefault="00112595" w:rsidP="004571A2">
      <w:pPr>
        <w:rPr>
          <w:color w:val="018A27" w:themeColor="accent2"/>
          <w:lang w:val="fr-CA"/>
        </w:rPr>
      </w:pPr>
      <w:r w:rsidRPr="00E04B87">
        <w:rPr>
          <w:color w:val="018A27" w:themeColor="accent2"/>
          <w:lang w:val="fr-CA"/>
        </w:rPr>
        <w:t xml:space="preserve">Les renseignements personnels ayant servi à prendre une décision au sujet d’une personne doivent être conservés durant une période suffisamment longue pour permettre à cette personne d’avoir accès à ces renseignements une fois la décision rendue. </w:t>
      </w:r>
    </w:p>
    <w:p w14:paraId="3FAAE562" w14:textId="6A563E29" w:rsidR="004571A2" w:rsidRPr="00E04B87" w:rsidRDefault="007E6AC8" w:rsidP="004571A2">
      <w:pPr>
        <w:rPr>
          <w:color w:val="018A27" w:themeColor="accent2"/>
          <w:lang w:val="fr-CA"/>
        </w:rPr>
      </w:pPr>
      <w:r w:rsidRPr="00E04B87">
        <w:rPr>
          <w:color w:val="018A27" w:themeColor="accent2"/>
          <w:lang w:val="fr-CA"/>
        </w:rPr>
        <w:t xml:space="preserve">Les renseignements personnels permettant d’identifier une personne ne doivent être utilisés et divulgués que s’il est nécessaire de le faire. </w:t>
      </w:r>
    </w:p>
    <w:p w14:paraId="1A2EAB88" w14:textId="70339948" w:rsidR="004571A2" w:rsidRPr="00E04B87" w:rsidRDefault="007E6AC8" w:rsidP="004571A2">
      <w:pPr>
        <w:rPr>
          <w:lang w:val="fr-CA"/>
        </w:rPr>
      </w:pPr>
      <w:r w:rsidRPr="00E04B87">
        <w:rPr>
          <w:color w:val="018A27" w:themeColor="accent2"/>
          <w:lang w:val="fr-CA"/>
        </w:rPr>
        <w:t xml:space="preserve">Les renseignements personnels qui ne sont plus nécessaires pour répondre à l’objectif énoncé doivent être </w:t>
      </w:r>
      <w:r w:rsidR="00924EA8" w:rsidRPr="00E04B87">
        <w:rPr>
          <w:color w:val="018A27" w:themeColor="accent2"/>
          <w:lang w:val="fr-CA"/>
        </w:rPr>
        <w:t>détruits</w:t>
      </w:r>
      <w:r w:rsidRPr="00E04B87">
        <w:rPr>
          <w:color w:val="018A27" w:themeColor="accent2"/>
          <w:lang w:val="fr-CA"/>
        </w:rPr>
        <w:t xml:space="preserve">, effacés ou rendus anonymes de façon conforme au calendrier de conservation et de suppression de documents de la Première Nation. </w:t>
      </w:r>
    </w:p>
    <w:p w14:paraId="0B774C76" w14:textId="213759ED" w:rsidR="004571A2" w:rsidRPr="00E04B87" w:rsidRDefault="004947A7" w:rsidP="002E3F4E">
      <w:pPr>
        <w:pStyle w:val="Heading2"/>
        <w:rPr>
          <w:lang w:val="fr-CA"/>
        </w:rPr>
      </w:pPr>
      <w:bookmarkStart w:id="68" w:name="_Toc17376456"/>
      <w:r w:rsidRPr="00E04B87">
        <w:rPr>
          <w:lang w:val="fr-CA"/>
        </w:rPr>
        <w:t>Exactitude</w:t>
      </w:r>
      <w:bookmarkEnd w:id="68"/>
    </w:p>
    <w:p w14:paraId="7ABD0C5A" w14:textId="1C46A52B" w:rsidR="004571A2" w:rsidRPr="00E04B87" w:rsidRDefault="00F15C87" w:rsidP="004571A2">
      <w:pPr>
        <w:rPr>
          <w:color w:val="018A27" w:themeColor="accent2"/>
          <w:lang w:val="fr-CA"/>
        </w:rPr>
      </w:pPr>
      <w:r w:rsidRPr="00E04B87">
        <w:rPr>
          <w:color w:val="018A27" w:themeColor="accent2"/>
          <w:lang w:val="fr-CA"/>
        </w:rPr>
        <w:t xml:space="preserve">La Première Nation doit prendre toutes les mesures raisonnables pour s’assurer que les renseignements personnels servant à la prise de décisions à propos d’une personne sont le plus exacts, à jour et complets possible afin de réduire au minimum </w:t>
      </w:r>
      <w:r w:rsidR="008D4296" w:rsidRPr="00E04B87">
        <w:rPr>
          <w:color w:val="018A27" w:themeColor="accent2"/>
          <w:lang w:val="fr-CA"/>
        </w:rPr>
        <w:t>tout risque</w:t>
      </w:r>
      <w:r w:rsidRPr="00E04B87">
        <w:rPr>
          <w:color w:val="018A27" w:themeColor="accent2"/>
          <w:lang w:val="fr-CA"/>
        </w:rPr>
        <w:t xml:space="preserve"> qu’une décision au sujet de la pe</w:t>
      </w:r>
      <w:r w:rsidR="008D4296" w:rsidRPr="00E04B87">
        <w:rPr>
          <w:color w:val="018A27" w:themeColor="accent2"/>
          <w:lang w:val="fr-CA"/>
        </w:rPr>
        <w:t>r</w:t>
      </w:r>
      <w:r w:rsidRPr="00E04B87">
        <w:rPr>
          <w:color w:val="018A27" w:themeColor="accent2"/>
          <w:lang w:val="fr-CA"/>
        </w:rPr>
        <w:t>sonne soit fondée sur des renseignements</w:t>
      </w:r>
      <w:r w:rsidR="008D4296" w:rsidRPr="00E04B87">
        <w:rPr>
          <w:color w:val="018A27" w:themeColor="accent2"/>
          <w:lang w:val="fr-CA"/>
        </w:rPr>
        <w:t xml:space="preserve"> erronés</w:t>
      </w:r>
      <w:r w:rsidRPr="00E04B87">
        <w:rPr>
          <w:color w:val="018A27" w:themeColor="accent2"/>
          <w:lang w:val="fr-CA"/>
        </w:rPr>
        <w:t xml:space="preserve">. </w:t>
      </w:r>
    </w:p>
    <w:p w14:paraId="418FCF75" w14:textId="1E28FD08" w:rsidR="004571A2" w:rsidRPr="00E04B87" w:rsidRDefault="008D4296" w:rsidP="002E3F4E">
      <w:pPr>
        <w:pStyle w:val="Heading2"/>
        <w:rPr>
          <w:lang w:val="fr-CA"/>
        </w:rPr>
      </w:pPr>
      <w:bookmarkStart w:id="69" w:name="_Toc17376457"/>
      <w:r w:rsidRPr="00E04B87">
        <w:rPr>
          <w:lang w:val="fr-CA"/>
        </w:rPr>
        <w:t>Protection</w:t>
      </w:r>
      <w:bookmarkEnd w:id="69"/>
    </w:p>
    <w:p w14:paraId="45169199" w14:textId="5D3B1DF6" w:rsidR="004571A2" w:rsidRPr="00E04B87" w:rsidRDefault="008D4296" w:rsidP="004571A2">
      <w:pPr>
        <w:rPr>
          <w:color w:val="018A27" w:themeColor="accent2"/>
          <w:lang w:val="fr-CA"/>
        </w:rPr>
      </w:pPr>
      <w:r w:rsidRPr="00E04B87">
        <w:rPr>
          <w:color w:val="018A27" w:themeColor="accent2"/>
          <w:lang w:val="fr-CA"/>
        </w:rPr>
        <w:t>Les renseignements personnels doivent être protégés au moyen de mesure</w:t>
      </w:r>
      <w:r w:rsidR="00F012D8">
        <w:rPr>
          <w:color w:val="018A27" w:themeColor="accent2"/>
          <w:lang w:val="fr-CA"/>
        </w:rPr>
        <w:t>s</w:t>
      </w:r>
      <w:r w:rsidRPr="00E04B87">
        <w:rPr>
          <w:color w:val="018A27" w:themeColor="accent2"/>
          <w:lang w:val="fr-CA"/>
        </w:rPr>
        <w:t xml:space="preserve"> adéquates pour veiller à ce que seules les personnes ayant besoin d’y accéder </w:t>
      </w:r>
      <w:r w:rsidR="005E5CA8" w:rsidRPr="00E04B87">
        <w:rPr>
          <w:color w:val="018A27" w:themeColor="accent2"/>
          <w:lang w:val="fr-CA"/>
        </w:rPr>
        <w:t>y aient</w:t>
      </w:r>
      <w:r w:rsidRPr="00E04B87">
        <w:rPr>
          <w:color w:val="018A27" w:themeColor="accent2"/>
          <w:lang w:val="fr-CA"/>
        </w:rPr>
        <w:t xml:space="preserve"> accès :</w:t>
      </w:r>
    </w:p>
    <w:p w14:paraId="1AA2359E" w14:textId="74CD2693" w:rsidR="002232D6" w:rsidRPr="00E04B87" w:rsidRDefault="002232D6" w:rsidP="002232D6">
      <w:pPr>
        <w:pStyle w:val="ListParagraph"/>
        <w:rPr>
          <w:color w:val="018A27" w:themeColor="accent2"/>
          <w:lang w:val="fr-CA"/>
        </w:rPr>
      </w:pPr>
      <w:proofErr w:type="gramStart"/>
      <w:r w:rsidRPr="00E04B87">
        <w:rPr>
          <w:color w:val="018A27" w:themeColor="accent2"/>
          <w:lang w:val="fr-CA"/>
        </w:rPr>
        <w:t>les</w:t>
      </w:r>
      <w:proofErr w:type="gramEnd"/>
      <w:r w:rsidRPr="00E04B87">
        <w:rPr>
          <w:color w:val="018A27" w:themeColor="accent2"/>
          <w:lang w:val="fr-CA"/>
        </w:rPr>
        <w:t xml:space="preserve"> documents électroniques contenant des renseignements personnels doivent être protégés au moyen du contrôle de l’accès à ces documents (comme une protection par mot de passe) et d’autres contrôles administratifs, comme l’accès restreint au répertoire électronique où se trouvent les documents </w:t>
      </w:r>
    </w:p>
    <w:p w14:paraId="5BEFBAE6" w14:textId="4247D4DD" w:rsidR="002232D6" w:rsidRPr="00E04B87" w:rsidRDefault="002232D6" w:rsidP="002232D6">
      <w:pPr>
        <w:pStyle w:val="ListParagraph"/>
        <w:rPr>
          <w:lang w:val="fr-CA"/>
        </w:rPr>
      </w:pPr>
      <w:proofErr w:type="gramStart"/>
      <w:r w:rsidRPr="00E04B87">
        <w:rPr>
          <w:color w:val="018A27" w:themeColor="accent2"/>
          <w:lang w:val="fr-CA"/>
        </w:rPr>
        <w:t>les</w:t>
      </w:r>
      <w:proofErr w:type="gramEnd"/>
      <w:r w:rsidRPr="00E04B87">
        <w:rPr>
          <w:color w:val="018A27" w:themeColor="accent2"/>
          <w:lang w:val="fr-CA"/>
        </w:rPr>
        <w:t xml:space="preserve"> documents en format papier contenant des renseignements personnels doivent être conservés dans des classeurs sécurisés en tout temps, sauf aux moments où ils sont utilisés, et s’il est nécessaire de les </w:t>
      </w:r>
      <w:r w:rsidR="005E5CA8" w:rsidRPr="00E04B87">
        <w:rPr>
          <w:color w:val="018A27" w:themeColor="accent2"/>
          <w:lang w:val="fr-CA"/>
        </w:rPr>
        <w:t>transporter</w:t>
      </w:r>
      <w:r w:rsidRPr="00E04B87">
        <w:rPr>
          <w:color w:val="018A27" w:themeColor="accent2"/>
          <w:lang w:val="fr-CA"/>
        </w:rPr>
        <w:t xml:space="preserve"> à l’extérieur, </w:t>
      </w:r>
      <w:r w:rsidR="00924EA8" w:rsidRPr="00E04B87">
        <w:rPr>
          <w:color w:val="018A27" w:themeColor="accent2"/>
          <w:lang w:val="fr-CA"/>
        </w:rPr>
        <w:t>ils doivent</w:t>
      </w:r>
      <w:r w:rsidRPr="00E04B87">
        <w:rPr>
          <w:color w:val="018A27" w:themeColor="accent2"/>
          <w:lang w:val="fr-CA"/>
        </w:rPr>
        <w:t xml:space="preserve"> être transportés de façon sécuritaire</w:t>
      </w:r>
    </w:p>
    <w:p w14:paraId="66EB3C2E" w14:textId="777A5C30" w:rsidR="004571A2" w:rsidRPr="00E04B87" w:rsidRDefault="006D6D0C" w:rsidP="004571A2">
      <w:pPr>
        <w:rPr>
          <w:color w:val="018A27" w:themeColor="accent2"/>
          <w:lang w:val="fr-CA"/>
        </w:rPr>
      </w:pPr>
      <w:r w:rsidRPr="00E04B87">
        <w:rPr>
          <w:color w:val="018A27" w:themeColor="accent2"/>
          <w:lang w:val="fr-CA"/>
        </w:rPr>
        <w:t xml:space="preserve">La Première Nation doit sensibiliser ses employés, ses sous-traitants et ses bénévoles à l’égard de l’importance de protéger la confidentialité des renseignements personnels. </w:t>
      </w:r>
    </w:p>
    <w:p w14:paraId="69709317" w14:textId="035EB245" w:rsidR="004571A2" w:rsidRPr="00E04B87" w:rsidRDefault="006D6D0C" w:rsidP="004571A2">
      <w:pPr>
        <w:rPr>
          <w:lang w:val="fr-CA"/>
        </w:rPr>
      </w:pPr>
      <w:r w:rsidRPr="00E04B87">
        <w:rPr>
          <w:color w:val="018A27" w:themeColor="accent2"/>
          <w:lang w:val="fr-CA"/>
        </w:rPr>
        <w:t xml:space="preserve">Il y a lieu de faire preuve </w:t>
      </w:r>
      <w:r w:rsidR="00673B11" w:rsidRPr="00E04B87">
        <w:rPr>
          <w:color w:val="018A27" w:themeColor="accent2"/>
          <w:lang w:val="fr-CA"/>
        </w:rPr>
        <w:t>de diligence</w:t>
      </w:r>
      <w:r w:rsidRPr="00E04B87">
        <w:rPr>
          <w:color w:val="018A27" w:themeColor="accent2"/>
          <w:lang w:val="fr-CA"/>
        </w:rPr>
        <w:t xml:space="preserve"> lors de la suppression ou de la destruction de renseignements personnels afin d’éviter que des parties non autorisées puissent y avoir accès. </w:t>
      </w:r>
    </w:p>
    <w:p w14:paraId="1EC7C627" w14:textId="7EE10F08" w:rsidR="004571A2" w:rsidRPr="00E04B87" w:rsidRDefault="00FF078C" w:rsidP="002E3F4E">
      <w:pPr>
        <w:pStyle w:val="Heading2"/>
        <w:rPr>
          <w:lang w:val="fr-CA"/>
        </w:rPr>
      </w:pPr>
      <w:bookmarkStart w:id="70" w:name="_Toc17376458"/>
      <w:r w:rsidRPr="00E04B87">
        <w:rPr>
          <w:lang w:val="fr-CA"/>
        </w:rPr>
        <w:t>Ouverture</w:t>
      </w:r>
      <w:bookmarkEnd w:id="70"/>
    </w:p>
    <w:p w14:paraId="7109961D" w14:textId="74ED7775" w:rsidR="004571A2" w:rsidRPr="00E04B87" w:rsidRDefault="00FF078C" w:rsidP="004571A2">
      <w:pPr>
        <w:rPr>
          <w:color w:val="018A27" w:themeColor="accent2"/>
          <w:lang w:val="fr-CA"/>
        </w:rPr>
      </w:pPr>
      <w:r w:rsidRPr="00E04B87">
        <w:rPr>
          <w:color w:val="018A27" w:themeColor="accent2"/>
          <w:lang w:val="fr-CA"/>
        </w:rPr>
        <w:t xml:space="preserve">La Première Nation doit faire preuve d’ouverture relativement à ses politiques et à ses pratiques portant sur la gestion des renseignements personnels. Les personnes doivent pouvoir </w:t>
      </w:r>
      <w:r w:rsidR="00A46037" w:rsidRPr="00E04B87">
        <w:rPr>
          <w:color w:val="018A27" w:themeColor="accent2"/>
          <w:lang w:val="fr-CA"/>
        </w:rPr>
        <w:t>s’informer</w:t>
      </w:r>
      <w:r w:rsidRPr="00E04B87">
        <w:rPr>
          <w:color w:val="018A27" w:themeColor="accent2"/>
          <w:lang w:val="fr-CA"/>
        </w:rPr>
        <w:t xml:space="preserve"> facilement sur ces politiques et ces pratiques. Cette information doit être </w:t>
      </w:r>
      <w:r w:rsidR="00337CDE" w:rsidRPr="00E04B87">
        <w:rPr>
          <w:color w:val="018A27" w:themeColor="accent2"/>
          <w:lang w:val="fr-CA"/>
        </w:rPr>
        <w:t>accessible dans un format généralement facile à comprendre.</w:t>
      </w:r>
    </w:p>
    <w:p w14:paraId="17D0CF79" w14:textId="0F1DBC9A" w:rsidR="004571A2" w:rsidRPr="00E04B87" w:rsidRDefault="00337CDE" w:rsidP="004571A2">
      <w:pPr>
        <w:rPr>
          <w:color w:val="018A27" w:themeColor="accent2"/>
          <w:lang w:val="fr-CA"/>
        </w:rPr>
      </w:pPr>
      <w:r w:rsidRPr="00E04B87">
        <w:rPr>
          <w:color w:val="018A27" w:themeColor="accent2"/>
          <w:lang w:val="fr-CA"/>
        </w:rPr>
        <w:t>L’information disponible doit comprendre :</w:t>
      </w:r>
    </w:p>
    <w:p w14:paraId="0A883611" w14:textId="15280CF9" w:rsidR="00D708ED" w:rsidRPr="00E04B87" w:rsidRDefault="00D708ED" w:rsidP="0092506F">
      <w:pPr>
        <w:pStyle w:val="ListParagraph"/>
        <w:rPr>
          <w:color w:val="018A27" w:themeColor="accent2"/>
          <w:lang w:val="fr-CA"/>
        </w:rPr>
      </w:pPr>
      <w:proofErr w:type="gramStart"/>
      <w:r w:rsidRPr="00E04B87">
        <w:rPr>
          <w:color w:val="018A27" w:themeColor="accent2"/>
          <w:lang w:val="fr-CA"/>
        </w:rPr>
        <w:t>le</w:t>
      </w:r>
      <w:proofErr w:type="gramEnd"/>
      <w:r w:rsidRPr="00E04B87">
        <w:rPr>
          <w:color w:val="018A27" w:themeColor="accent2"/>
          <w:lang w:val="fr-CA"/>
        </w:rPr>
        <w:t xml:space="preserve"> nom ou le titre ainsi que l’adresse de l’employé désigné pour superviser la protection des renseignements personnels, de la personne responsable des politiques et des pratiques de la Première Nation et de la personne à qui faire parvenir les questions et les plaintes</w:t>
      </w:r>
    </w:p>
    <w:p w14:paraId="40B40F07" w14:textId="1AE59549" w:rsidR="004571A2" w:rsidRPr="00E04B87" w:rsidRDefault="005D53AA" w:rsidP="0092506F">
      <w:pPr>
        <w:pStyle w:val="ListParagraph"/>
        <w:rPr>
          <w:color w:val="018A27" w:themeColor="accent2"/>
          <w:lang w:val="fr-CA"/>
        </w:rPr>
      </w:pPr>
      <w:proofErr w:type="gramStart"/>
      <w:r w:rsidRPr="00E04B87">
        <w:rPr>
          <w:color w:val="018A27" w:themeColor="accent2"/>
          <w:lang w:val="fr-CA"/>
        </w:rPr>
        <w:t>les</w:t>
      </w:r>
      <w:proofErr w:type="gramEnd"/>
      <w:r w:rsidRPr="00E04B87">
        <w:rPr>
          <w:color w:val="018A27" w:themeColor="accent2"/>
          <w:lang w:val="fr-CA"/>
        </w:rPr>
        <w:t xml:space="preserve"> moyens utilisés par la Première Nation pour accéder aux renseignements personnels</w:t>
      </w:r>
    </w:p>
    <w:p w14:paraId="56B1509D" w14:textId="5D11CA05" w:rsidR="004571A2" w:rsidRPr="00E04B87" w:rsidRDefault="005D53AA" w:rsidP="0092506F">
      <w:pPr>
        <w:pStyle w:val="ListParagraph"/>
        <w:rPr>
          <w:color w:val="018A27" w:themeColor="accent2"/>
          <w:lang w:val="fr-CA"/>
        </w:rPr>
      </w:pPr>
      <w:proofErr w:type="gramStart"/>
      <w:r w:rsidRPr="00E04B87">
        <w:rPr>
          <w:color w:val="018A27" w:themeColor="accent2"/>
          <w:lang w:val="fr-CA"/>
        </w:rPr>
        <w:t>une</w:t>
      </w:r>
      <w:proofErr w:type="gramEnd"/>
      <w:r w:rsidRPr="00E04B87">
        <w:rPr>
          <w:color w:val="018A27" w:themeColor="accent2"/>
          <w:lang w:val="fr-CA"/>
        </w:rPr>
        <w:t xml:space="preserve"> description du type de renseignements personnels détenus par l</w:t>
      </w:r>
      <w:r w:rsidR="00F012D8">
        <w:rPr>
          <w:color w:val="018A27" w:themeColor="accent2"/>
          <w:lang w:val="fr-CA"/>
        </w:rPr>
        <w:t>a</w:t>
      </w:r>
      <w:r w:rsidRPr="00E04B87">
        <w:rPr>
          <w:color w:val="018A27" w:themeColor="accent2"/>
          <w:lang w:val="fr-CA"/>
        </w:rPr>
        <w:t xml:space="preserve"> Première Nation</w:t>
      </w:r>
    </w:p>
    <w:p w14:paraId="0A00AF9D" w14:textId="3DDE300D" w:rsidR="004571A2" w:rsidRPr="00E04B87" w:rsidRDefault="005D53AA" w:rsidP="002E3F4E">
      <w:pPr>
        <w:pStyle w:val="Heading2"/>
        <w:rPr>
          <w:lang w:val="fr-CA"/>
        </w:rPr>
      </w:pPr>
      <w:bookmarkStart w:id="71" w:name="_Toc17376459"/>
      <w:r w:rsidRPr="00E04B87">
        <w:rPr>
          <w:lang w:val="fr-CA"/>
        </w:rPr>
        <w:t>Accès individuel</w:t>
      </w:r>
      <w:bookmarkEnd w:id="71"/>
    </w:p>
    <w:p w14:paraId="575DE2CA" w14:textId="0142BD50" w:rsidR="004571A2" w:rsidRPr="00E04B87" w:rsidRDefault="00C21BB5" w:rsidP="004571A2">
      <w:pPr>
        <w:rPr>
          <w:color w:val="018A27" w:themeColor="accent2"/>
          <w:lang w:val="fr-CA"/>
        </w:rPr>
      </w:pPr>
      <w:r w:rsidRPr="00E04B87">
        <w:rPr>
          <w:color w:val="018A27" w:themeColor="accent2"/>
          <w:lang w:val="fr-CA"/>
        </w:rPr>
        <w:t>Lorsqu’elle en fait la demande, une personne doit être informée des renseignements personnels à son sujet détenus par la Première Nation et de l’usage qui en a été fait ou qui en est fait</w:t>
      </w:r>
      <w:r w:rsidR="00ED0E66" w:rsidRPr="00E04B87">
        <w:rPr>
          <w:color w:val="018A27" w:themeColor="accent2"/>
          <w:lang w:val="fr-CA"/>
        </w:rPr>
        <w:t xml:space="preserve"> par la Première Nation</w:t>
      </w:r>
      <w:r w:rsidRPr="00E04B87">
        <w:rPr>
          <w:color w:val="018A27" w:themeColor="accent2"/>
          <w:lang w:val="fr-CA"/>
        </w:rPr>
        <w:t xml:space="preserve"> ainsi que des tiers à qui ces renseignements ont été </w:t>
      </w:r>
      <w:r w:rsidR="00ED0E66" w:rsidRPr="00E04B87">
        <w:rPr>
          <w:color w:val="018A27" w:themeColor="accent2"/>
          <w:lang w:val="fr-CA"/>
        </w:rPr>
        <w:t>communiqués</w:t>
      </w:r>
      <w:r w:rsidRPr="00E04B87">
        <w:rPr>
          <w:color w:val="018A27" w:themeColor="accent2"/>
          <w:lang w:val="fr-CA"/>
        </w:rPr>
        <w:t xml:space="preserve">. </w:t>
      </w:r>
    </w:p>
    <w:p w14:paraId="47D24788" w14:textId="04B934BF" w:rsidR="004571A2" w:rsidRPr="00E04B87" w:rsidRDefault="006565B6" w:rsidP="004571A2">
      <w:pPr>
        <w:rPr>
          <w:color w:val="018A27" w:themeColor="accent2"/>
          <w:lang w:val="fr-CA"/>
        </w:rPr>
      </w:pPr>
      <w:r w:rsidRPr="00E04B87">
        <w:rPr>
          <w:color w:val="018A27" w:themeColor="accent2"/>
          <w:lang w:val="fr-CA"/>
        </w:rPr>
        <w:t xml:space="preserve">L’identité de la personne doit être confirmée avant de discuter avec elle de ses renseignements personnels. </w:t>
      </w:r>
    </w:p>
    <w:p w14:paraId="690F18AD" w14:textId="180FDEF7" w:rsidR="004571A2" w:rsidRPr="00E04B87" w:rsidRDefault="006565B6" w:rsidP="004571A2">
      <w:pPr>
        <w:rPr>
          <w:color w:val="018A27" w:themeColor="accent2"/>
          <w:lang w:val="fr-CA"/>
        </w:rPr>
      </w:pPr>
      <w:r w:rsidRPr="00E04B87">
        <w:rPr>
          <w:color w:val="018A27" w:themeColor="accent2"/>
          <w:lang w:val="fr-CA"/>
        </w:rPr>
        <w:t xml:space="preserve">Lorsqu’une personne en fait la demande, la Première Nation doit lui donner accès aux renseignements personnels la concernant dans un délai raisonnable et </w:t>
      </w:r>
      <w:r w:rsidR="00AA08AE" w:rsidRPr="00E04B87">
        <w:rPr>
          <w:color w:val="018A27" w:themeColor="accent2"/>
          <w:lang w:val="fr-CA"/>
        </w:rPr>
        <w:t>moyennant des frais minimes ou aucuns frais</w:t>
      </w:r>
      <w:r w:rsidRPr="00E04B87">
        <w:rPr>
          <w:color w:val="018A27" w:themeColor="accent2"/>
          <w:lang w:val="fr-CA"/>
        </w:rPr>
        <w:t xml:space="preserve">. Les renseignements doivent être fournis à la personne ou mis à sa disposition dans un format généralement compréhensible. </w:t>
      </w:r>
    </w:p>
    <w:p w14:paraId="033290C0" w14:textId="17123DB5" w:rsidR="004571A2" w:rsidRPr="00E04B87" w:rsidRDefault="0001691E" w:rsidP="004571A2">
      <w:pPr>
        <w:rPr>
          <w:color w:val="018A27" w:themeColor="accent2"/>
          <w:lang w:val="fr-CA"/>
        </w:rPr>
      </w:pPr>
      <w:r w:rsidRPr="00E04B87">
        <w:rPr>
          <w:color w:val="018A27" w:themeColor="accent2"/>
          <w:lang w:val="fr-CA"/>
        </w:rPr>
        <w:t>Les personnes ayant accès aux renseignements personnels les concernant peuvent :</w:t>
      </w:r>
    </w:p>
    <w:p w14:paraId="79AD2FEE" w14:textId="6E442F9E" w:rsidR="0001691E" w:rsidRPr="00E04B87" w:rsidRDefault="0001691E" w:rsidP="0092506F">
      <w:pPr>
        <w:pStyle w:val="ListParagraph"/>
        <w:rPr>
          <w:color w:val="018A27" w:themeColor="accent2"/>
          <w:lang w:val="fr-CA"/>
        </w:rPr>
      </w:pPr>
      <w:proofErr w:type="gramStart"/>
      <w:r w:rsidRPr="00E04B87">
        <w:rPr>
          <w:color w:val="018A27" w:themeColor="accent2"/>
          <w:lang w:val="fr-CA"/>
        </w:rPr>
        <w:t>demander</w:t>
      </w:r>
      <w:proofErr w:type="gramEnd"/>
      <w:r w:rsidRPr="00E04B87">
        <w:rPr>
          <w:color w:val="018A27" w:themeColor="accent2"/>
          <w:lang w:val="fr-CA"/>
        </w:rPr>
        <w:t xml:space="preserve"> la correction de renseignements jugés erronés ou l’ajout de renseignements manquants</w:t>
      </w:r>
    </w:p>
    <w:p w14:paraId="45E7B871" w14:textId="43D01A34" w:rsidR="004571A2" w:rsidRPr="00E04B87" w:rsidRDefault="0001691E" w:rsidP="0092506F">
      <w:pPr>
        <w:pStyle w:val="ListParagraph"/>
        <w:rPr>
          <w:color w:val="018A27" w:themeColor="accent2"/>
          <w:lang w:val="fr-CA"/>
        </w:rPr>
      </w:pPr>
      <w:proofErr w:type="gramStart"/>
      <w:r w:rsidRPr="00E04B87">
        <w:rPr>
          <w:color w:val="018A27" w:themeColor="accent2"/>
          <w:lang w:val="fr-CA"/>
        </w:rPr>
        <w:t>demander</w:t>
      </w:r>
      <w:proofErr w:type="gramEnd"/>
      <w:r w:rsidRPr="00E04B87">
        <w:rPr>
          <w:color w:val="018A27" w:themeColor="accent2"/>
          <w:lang w:val="fr-CA"/>
        </w:rPr>
        <w:t xml:space="preserve"> </w:t>
      </w:r>
      <w:r w:rsidR="00964D25" w:rsidRPr="00E04B87">
        <w:rPr>
          <w:color w:val="018A27" w:themeColor="accent2"/>
          <w:lang w:val="fr-CA"/>
        </w:rPr>
        <w:t xml:space="preserve">à ce que les renseignements soient annotés pour indiquer que des corrections ont été demandées mais n’ont pas été apportées </w:t>
      </w:r>
    </w:p>
    <w:p w14:paraId="659BA4B6" w14:textId="79C934DE" w:rsidR="004571A2" w:rsidRPr="00E04B87" w:rsidRDefault="00964D25" w:rsidP="0092506F">
      <w:pPr>
        <w:pStyle w:val="ListParagraph"/>
        <w:rPr>
          <w:color w:val="018A27" w:themeColor="accent2"/>
          <w:lang w:val="fr-CA"/>
        </w:rPr>
      </w:pPr>
      <w:proofErr w:type="gramStart"/>
      <w:r w:rsidRPr="00E04B87">
        <w:rPr>
          <w:color w:val="018A27" w:themeColor="accent2"/>
          <w:lang w:val="fr-CA"/>
        </w:rPr>
        <w:t>demander</w:t>
      </w:r>
      <w:proofErr w:type="gramEnd"/>
      <w:r w:rsidRPr="00E04B87">
        <w:rPr>
          <w:color w:val="018A27" w:themeColor="accent2"/>
          <w:lang w:val="fr-CA"/>
        </w:rPr>
        <w:t xml:space="preserve"> que toute personne ou tout </w:t>
      </w:r>
      <w:r w:rsidR="00924EA8" w:rsidRPr="00E04B87">
        <w:rPr>
          <w:color w:val="018A27" w:themeColor="accent2"/>
          <w:lang w:val="fr-CA"/>
        </w:rPr>
        <w:t>organisme</w:t>
      </w:r>
      <w:r w:rsidRPr="00E04B87">
        <w:rPr>
          <w:color w:val="018A27" w:themeColor="accent2"/>
          <w:lang w:val="fr-CA"/>
        </w:rPr>
        <w:t xml:space="preserve"> à qui des renseignements ont été communiqués aux fins de la prise de décisions soit avisé de la correction ou d</w:t>
      </w:r>
      <w:r w:rsidR="00A46037" w:rsidRPr="00E04B87">
        <w:rPr>
          <w:color w:val="018A27" w:themeColor="accent2"/>
          <w:lang w:val="fr-CA"/>
        </w:rPr>
        <w:t>e l</w:t>
      </w:r>
      <w:r w:rsidRPr="00E04B87">
        <w:rPr>
          <w:color w:val="018A27" w:themeColor="accent2"/>
          <w:lang w:val="fr-CA"/>
        </w:rPr>
        <w:t>’annotation dans un délai raisonnable après la demande de correction ou d’annotation</w:t>
      </w:r>
    </w:p>
    <w:p w14:paraId="7C63C49B" w14:textId="33398756" w:rsidR="004571A2" w:rsidRPr="00E04B87" w:rsidRDefault="000C4E20" w:rsidP="004571A2">
      <w:pPr>
        <w:rPr>
          <w:color w:val="018A27" w:themeColor="accent2"/>
          <w:lang w:val="fr-CA"/>
        </w:rPr>
      </w:pPr>
      <w:r w:rsidRPr="00E04B87">
        <w:rPr>
          <w:color w:val="018A27" w:themeColor="accent2"/>
          <w:lang w:val="fr-CA"/>
        </w:rPr>
        <w:t xml:space="preserve">Dans certaines circonstances, il est possible que la Première Nation ne soit pas en mesure de donner accès à la totalité des renseignements personnels qu’elle détient au sujet d’une personne. De telles exceptions aux exigences en matière d’accès aux renseignements doivent être précises et limitées. La raison pour laquelle une demande d’accès est refusée doit être communiquée à la personne au moment où elle fait sa demande. Ces exceptions peuvent comprendre ce qui suit : </w:t>
      </w:r>
    </w:p>
    <w:p w14:paraId="1A7A76D5" w14:textId="16CF649A" w:rsidR="004571A2" w:rsidRPr="00E04B87" w:rsidRDefault="00891CC5" w:rsidP="0092506F">
      <w:pPr>
        <w:pStyle w:val="ListParagraph"/>
        <w:rPr>
          <w:color w:val="018A27" w:themeColor="accent2"/>
          <w:lang w:val="fr-CA"/>
        </w:rPr>
      </w:pPr>
      <w:proofErr w:type="gramStart"/>
      <w:r w:rsidRPr="00E04B87">
        <w:rPr>
          <w:color w:val="018A27" w:themeColor="accent2"/>
          <w:lang w:val="fr-CA"/>
        </w:rPr>
        <w:t>les</w:t>
      </w:r>
      <w:proofErr w:type="gramEnd"/>
      <w:r w:rsidRPr="00E04B87">
        <w:rPr>
          <w:color w:val="018A27" w:themeColor="accent2"/>
          <w:lang w:val="fr-CA"/>
        </w:rPr>
        <w:t xml:space="preserve"> renseignements contiennent des </w:t>
      </w:r>
      <w:r w:rsidR="00F31105" w:rsidRPr="00E04B87">
        <w:rPr>
          <w:color w:val="018A27" w:themeColor="accent2"/>
          <w:lang w:val="fr-CA"/>
        </w:rPr>
        <w:t>références à</w:t>
      </w:r>
      <w:r w:rsidRPr="00E04B87">
        <w:rPr>
          <w:color w:val="018A27" w:themeColor="accent2"/>
          <w:lang w:val="fr-CA"/>
        </w:rPr>
        <w:t xml:space="preserve"> d’autres personnes</w:t>
      </w:r>
    </w:p>
    <w:p w14:paraId="672D7B0E" w14:textId="0E801762" w:rsidR="004571A2" w:rsidRPr="00E04B87" w:rsidRDefault="00891CC5" w:rsidP="0092506F">
      <w:pPr>
        <w:pStyle w:val="ListParagraph"/>
        <w:rPr>
          <w:color w:val="018A27" w:themeColor="accent2"/>
          <w:lang w:val="fr-CA"/>
        </w:rPr>
      </w:pPr>
      <w:proofErr w:type="gramStart"/>
      <w:r w:rsidRPr="00E04B87">
        <w:rPr>
          <w:color w:val="018A27" w:themeColor="accent2"/>
          <w:lang w:val="fr-CA"/>
        </w:rPr>
        <w:t>les</w:t>
      </w:r>
      <w:proofErr w:type="gramEnd"/>
      <w:r w:rsidRPr="00E04B87">
        <w:rPr>
          <w:color w:val="018A27" w:themeColor="accent2"/>
          <w:lang w:val="fr-CA"/>
        </w:rPr>
        <w:t xml:space="preserve"> renseignements ne peuvent être divulgués pour des raisons juridiques, de sécurité ou d’exclusivité commerciale</w:t>
      </w:r>
    </w:p>
    <w:p w14:paraId="56D6B255" w14:textId="66B249A2" w:rsidR="004571A2" w:rsidRPr="00E04B87" w:rsidRDefault="00891CC5" w:rsidP="0092506F">
      <w:pPr>
        <w:pStyle w:val="ListParagraph"/>
        <w:rPr>
          <w:lang w:val="fr-CA"/>
        </w:rPr>
      </w:pPr>
      <w:proofErr w:type="gramStart"/>
      <w:r w:rsidRPr="00E04B87">
        <w:rPr>
          <w:color w:val="018A27" w:themeColor="accent2"/>
          <w:lang w:val="fr-CA"/>
        </w:rPr>
        <w:t>les</w:t>
      </w:r>
      <w:proofErr w:type="gramEnd"/>
      <w:r w:rsidRPr="00E04B87">
        <w:rPr>
          <w:color w:val="018A27" w:themeColor="accent2"/>
          <w:lang w:val="fr-CA"/>
        </w:rPr>
        <w:t xml:space="preserve"> renseignements sont assujettis à un privilège </w:t>
      </w:r>
      <w:r w:rsidR="00F57FA8" w:rsidRPr="00E04B87">
        <w:rPr>
          <w:color w:val="018A27" w:themeColor="accent2"/>
          <w:lang w:val="fr-CA"/>
        </w:rPr>
        <w:t xml:space="preserve">avocat-client ou </w:t>
      </w:r>
      <w:r w:rsidR="00E74D72" w:rsidRPr="00E04B87">
        <w:rPr>
          <w:color w:val="018A27" w:themeColor="accent2"/>
          <w:lang w:val="fr-CA"/>
        </w:rPr>
        <w:t xml:space="preserve">à un privilège </w:t>
      </w:r>
      <w:r w:rsidR="00F57FA8" w:rsidRPr="00E04B87">
        <w:rPr>
          <w:color w:val="018A27" w:themeColor="accent2"/>
          <w:lang w:val="fr-CA"/>
        </w:rPr>
        <w:t>relatif à un litige</w:t>
      </w:r>
    </w:p>
    <w:p w14:paraId="05845673" w14:textId="2F264AED" w:rsidR="004571A2" w:rsidRPr="00E04B87" w:rsidRDefault="002D62B2" w:rsidP="002E3F4E">
      <w:pPr>
        <w:pStyle w:val="Heading2"/>
        <w:rPr>
          <w:lang w:val="fr-CA"/>
        </w:rPr>
      </w:pPr>
      <w:bookmarkStart w:id="72" w:name="_Toc17376460"/>
      <w:r w:rsidRPr="00E04B87">
        <w:rPr>
          <w:lang w:val="fr-CA"/>
        </w:rPr>
        <w:t>Plaintes relatives à la conformité</w:t>
      </w:r>
      <w:bookmarkEnd w:id="72"/>
    </w:p>
    <w:p w14:paraId="40F53F03" w14:textId="004EC641" w:rsidR="004571A2" w:rsidRPr="00E04B87" w:rsidRDefault="002D62B2" w:rsidP="004571A2">
      <w:pPr>
        <w:rPr>
          <w:color w:val="018A27" w:themeColor="accent2"/>
          <w:lang w:val="fr-CA"/>
        </w:rPr>
      </w:pPr>
      <w:r w:rsidRPr="00E04B87">
        <w:rPr>
          <w:color w:val="018A27" w:themeColor="accent2"/>
          <w:lang w:val="fr-CA"/>
        </w:rPr>
        <w:t>La Première Nation veille à mettre en place un processus de réception de</w:t>
      </w:r>
      <w:r w:rsidR="00134D24" w:rsidRPr="00E04B87">
        <w:rPr>
          <w:color w:val="018A27" w:themeColor="accent2"/>
          <w:lang w:val="fr-CA"/>
        </w:rPr>
        <w:t>s</w:t>
      </w:r>
      <w:r w:rsidRPr="00E04B87">
        <w:rPr>
          <w:color w:val="018A27" w:themeColor="accent2"/>
          <w:lang w:val="fr-CA"/>
        </w:rPr>
        <w:t xml:space="preserve"> plaintes et de</w:t>
      </w:r>
      <w:r w:rsidR="00134D24" w:rsidRPr="00E04B87">
        <w:rPr>
          <w:color w:val="018A27" w:themeColor="accent2"/>
          <w:lang w:val="fr-CA"/>
        </w:rPr>
        <w:t>s</w:t>
      </w:r>
      <w:r w:rsidRPr="00E04B87">
        <w:rPr>
          <w:color w:val="018A27" w:themeColor="accent2"/>
          <w:lang w:val="fr-CA"/>
        </w:rPr>
        <w:t xml:space="preserve"> questions </w:t>
      </w:r>
      <w:r w:rsidR="00134D24" w:rsidRPr="00E04B87">
        <w:rPr>
          <w:color w:val="018A27" w:themeColor="accent2"/>
          <w:lang w:val="fr-CA"/>
        </w:rPr>
        <w:t>relatives à</w:t>
      </w:r>
      <w:r w:rsidRPr="00E04B87">
        <w:rPr>
          <w:color w:val="018A27" w:themeColor="accent2"/>
          <w:lang w:val="fr-CA"/>
        </w:rPr>
        <w:t xml:space="preserve"> ses politiques et </w:t>
      </w:r>
      <w:r w:rsidR="004A5A68">
        <w:rPr>
          <w:color w:val="018A27" w:themeColor="accent2"/>
          <w:lang w:val="fr-CA"/>
        </w:rPr>
        <w:t xml:space="preserve">à </w:t>
      </w:r>
      <w:r w:rsidRPr="00E04B87">
        <w:rPr>
          <w:color w:val="018A27" w:themeColor="accent2"/>
          <w:lang w:val="fr-CA"/>
        </w:rPr>
        <w:t xml:space="preserve">ses pratiques </w:t>
      </w:r>
      <w:r w:rsidR="00134D24" w:rsidRPr="00E04B87">
        <w:rPr>
          <w:color w:val="018A27" w:themeColor="accent2"/>
          <w:lang w:val="fr-CA"/>
        </w:rPr>
        <w:t xml:space="preserve">en matière </w:t>
      </w:r>
      <w:r w:rsidRPr="00E04B87">
        <w:rPr>
          <w:color w:val="018A27" w:themeColor="accent2"/>
          <w:lang w:val="fr-CA"/>
        </w:rPr>
        <w:t xml:space="preserve">de traitement des renseignements personnels et de réponse à ces dernières. Ce processus doit être facile d’accès et simple à utiliser. </w:t>
      </w:r>
    </w:p>
    <w:p w14:paraId="1B7F29A3" w14:textId="60527957" w:rsidR="004571A2" w:rsidRPr="00E04B87" w:rsidRDefault="002D62B2" w:rsidP="004571A2">
      <w:pPr>
        <w:rPr>
          <w:lang w:val="fr-CA"/>
        </w:rPr>
      </w:pPr>
      <w:r w:rsidRPr="00E04B87">
        <w:rPr>
          <w:color w:val="018A27" w:themeColor="accent2"/>
          <w:lang w:val="fr-CA"/>
        </w:rPr>
        <w:t xml:space="preserve">S’il est déterminé qu’une plainte est justifiée, la Première Nation </w:t>
      </w:r>
      <w:r w:rsidR="007A4EBF" w:rsidRPr="00E04B87">
        <w:rPr>
          <w:color w:val="018A27" w:themeColor="accent2"/>
          <w:lang w:val="fr-CA"/>
        </w:rPr>
        <w:t>doit prendre</w:t>
      </w:r>
      <w:r w:rsidRPr="00E04B87">
        <w:rPr>
          <w:color w:val="018A27" w:themeColor="accent2"/>
          <w:lang w:val="fr-CA"/>
        </w:rPr>
        <w:t xml:space="preserve"> les mesures appropriées, </w:t>
      </w:r>
      <w:r w:rsidR="00134D24" w:rsidRPr="00E04B87">
        <w:rPr>
          <w:color w:val="018A27" w:themeColor="accent2"/>
          <w:lang w:val="fr-CA"/>
        </w:rPr>
        <w:t>ce qui peut comprendre</w:t>
      </w:r>
      <w:r w:rsidRPr="00E04B87">
        <w:rPr>
          <w:color w:val="018A27" w:themeColor="accent2"/>
          <w:lang w:val="fr-CA"/>
        </w:rPr>
        <w:t xml:space="preserve">, si nécessaire, la modification de ses politiques et de ses pratiques. </w:t>
      </w:r>
    </w:p>
    <w:p w14:paraId="786D19FE" w14:textId="65DDF98C" w:rsidR="004571A2" w:rsidRPr="00E04B87" w:rsidRDefault="006521DD" w:rsidP="002E3F4E">
      <w:pPr>
        <w:pStyle w:val="14ptheading"/>
        <w:rPr>
          <w:lang w:val="fr-CA"/>
        </w:rPr>
      </w:pPr>
      <w:r w:rsidRPr="00E04B87">
        <w:rPr>
          <w:lang w:val="fr-CA"/>
        </w:rPr>
        <w:t>Références</w:t>
      </w:r>
    </w:p>
    <w:p w14:paraId="0C8B25EE" w14:textId="6F034DB5" w:rsidR="004571A2" w:rsidRPr="00E04B87" w:rsidRDefault="006521DD" w:rsidP="004571A2">
      <w:pPr>
        <w:rPr>
          <w:lang w:val="fr-CA"/>
        </w:rPr>
      </w:pPr>
      <w:r w:rsidRPr="00E04B87">
        <w:rPr>
          <w:i/>
          <w:lang w:val="fr-CA"/>
        </w:rPr>
        <w:t>Normes relatives au système de gestion financière</w:t>
      </w:r>
      <w:r w:rsidRPr="00E04B87">
        <w:rPr>
          <w:lang w:val="fr-CA"/>
        </w:rPr>
        <w:t xml:space="preserve"> du CGF</w:t>
      </w:r>
    </w:p>
    <w:p w14:paraId="513ACA4A" w14:textId="509955F9" w:rsidR="004571A2" w:rsidRPr="00E04B87" w:rsidRDefault="006521DD" w:rsidP="002E3F4E">
      <w:pPr>
        <w:pStyle w:val="ListParagraph"/>
        <w:rPr>
          <w:lang w:val="fr-CA"/>
        </w:rPr>
      </w:pPr>
      <w:r w:rsidRPr="00E04B87">
        <w:rPr>
          <w:lang w:val="fr-CA"/>
        </w:rPr>
        <w:t>Norme</w:t>
      </w:r>
      <w:r w:rsidR="004571A2" w:rsidRPr="00E04B87">
        <w:rPr>
          <w:lang w:val="fr-CA"/>
        </w:rPr>
        <w:t xml:space="preserve"> 12.0 – </w:t>
      </w:r>
      <w:r w:rsidR="00242D3E" w:rsidRPr="00E04B87">
        <w:rPr>
          <w:lang w:val="fr-CA"/>
        </w:rPr>
        <w:t>Dirigeants et employés de la Première Nation</w:t>
      </w:r>
    </w:p>
    <w:p w14:paraId="576F66E0" w14:textId="187E54A3" w:rsidR="004571A2" w:rsidRPr="00E04B87" w:rsidRDefault="006521DD" w:rsidP="002E3F4E">
      <w:pPr>
        <w:pStyle w:val="ListParagraph"/>
        <w:rPr>
          <w:lang w:val="fr-CA"/>
        </w:rPr>
      </w:pPr>
      <w:r w:rsidRPr="00E04B87">
        <w:rPr>
          <w:lang w:val="fr-CA"/>
        </w:rPr>
        <w:t>Norme</w:t>
      </w:r>
      <w:r w:rsidR="004571A2" w:rsidRPr="00E04B87">
        <w:rPr>
          <w:lang w:val="fr-CA"/>
        </w:rPr>
        <w:t xml:space="preserve"> 20.0 – </w:t>
      </w:r>
      <w:r w:rsidR="00242D3E" w:rsidRPr="00E04B87">
        <w:rPr>
          <w:lang w:val="fr-CA"/>
        </w:rPr>
        <w:t>Gestion des risques</w:t>
      </w:r>
    </w:p>
    <w:p w14:paraId="67CA9217" w14:textId="2C690906" w:rsidR="004571A2" w:rsidRPr="00E04B87" w:rsidRDefault="006521DD" w:rsidP="002E3F4E">
      <w:pPr>
        <w:pStyle w:val="ListParagraph"/>
        <w:rPr>
          <w:lang w:val="fr-CA"/>
        </w:rPr>
      </w:pPr>
      <w:r w:rsidRPr="00E04B87">
        <w:rPr>
          <w:lang w:val="fr-CA"/>
        </w:rPr>
        <w:t>Norme</w:t>
      </w:r>
      <w:r w:rsidR="004571A2" w:rsidRPr="00E04B87">
        <w:rPr>
          <w:lang w:val="fr-CA"/>
        </w:rPr>
        <w:t xml:space="preserve"> 24.0 – </w:t>
      </w:r>
      <w:r w:rsidR="00242D3E" w:rsidRPr="00E04B87">
        <w:rPr>
          <w:lang w:val="fr-CA"/>
        </w:rPr>
        <w:t>Dossiers et renseignements</w:t>
      </w:r>
    </w:p>
    <w:p w14:paraId="615359B7" w14:textId="285FF17B" w:rsidR="004571A2" w:rsidRPr="00E04B87" w:rsidRDefault="006521DD" w:rsidP="004571A2">
      <w:pPr>
        <w:rPr>
          <w:lang w:val="fr-CA"/>
        </w:rPr>
      </w:pPr>
      <w:r w:rsidRPr="00E04B87">
        <w:rPr>
          <w:i/>
          <w:lang w:val="fr-CA"/>
        </w:rPr>
        <w:t>Normes relatives à la Loi sur l’administration financière</w:t>
      </w:r>
      <w:r w:rsidRPr="00E04B87">
        <w:rPr>
          <w:lang w:val="fr-CA"/>
        </w:rPr>
        <w:t xml:space="preserve"> du CGF</w:t>
      </w:r>
    </w:p>
    <w:p w14:paraId="55A5A7C2" w14:textId="5A078467" w:rsidR="004571A2" w:rsidRPr="00E04B87" w:rsidRDefault="006521DD" w:rsidP="002E3F4E">
      <w:pPr>
        <w:pStyle w:val="ListParagraph"/>
        <w:rPr>
          <w:lang w:val="fr-CA"/>
        </w:rPr>
      </w:pPr>
      <w:r w:rsidRPr="00E04B87">
        <w:rPr>
          <w:lang w:val="fr-CA"/>
        </w:rPr>
        <w:t>Norme</w:t>
      </w:r>
      <w:r w:rsidR="004571A2" w:rsidRPr="00E04B87">
        <w:rPr>
          <w:lang w:val="fr-CA"/>
        </w:rPr>
        <w:t xml:space="preserve"> 24.0 – </w:t>
      </w:r>
      <w:r w:rsidR="00242D3E" w:rsidRPr="00E04B87">
        <w:rPr>
          <w:lang w:val="fr-CA"/>
        </w:rPr>
        <w:t>Documents et information</w:t>
      </w:r>
    </w:p>
    <w:p w14:paraId="4F2194FE" w14:textId="77777777" w:rsidR="00350390" w:rsidRPr="00E04B87" w:rsidRDefault="00350390" w:rsidP="00350390">
      <w:pPr>
        <w:rPr>
          <w:lang w:val="fr-CA"/>
        </w:rPr>
      </w:pPr>
    </w:p>
    <w:p w14:paraId="565DB41B" w14:textId="77777777" w:rsidR="004527CD" w:rsidRPr="00E04B87" w:rsidRDefault="004527CD" w:rsidP="004527CD">
      <w:pPr>
        <w:rPr>
          <w:lang w:val="fr-CA"/>
        </w:rPr>
      </w:pPr>
      <w:r w:rsidRPr="00E04B87">
        <w:rPr>
          <w:lang w:val="fr-CA"/>
        </w:rPr>
        <w:t xml:space="preserve"> </w:t>
      </w:r>
      <w:r w:rsidRPr="00E04B87">
        <w:rPr>
          <w:lang w:val="fr-CA"/>
        </w:rPr>
        <w:tab/>
        <w:t xml:space="preserve"> </w:t>
      </w:r>
      <w:r w:rsidRPr="00E04B87">
        <w:rPr>
          <w:lang w:val="fr-CA"/>
        </w:rPr>
        <w:tab/>
        <w:t xml:space="preserve"> </w:t>
      </w:r>
      <w:r w:rsidRPr="00E04B87">
        <w:rPr>
          <w:lang w:val="fr-CA"/>
        </w:rPr>
        <w:tab/>
        <w:t xml:space="preserve"> </w:t>
      </w:r>
      <w:r w:rsidRPr="00E04B87">
        <w:rPr>
          <w:lang w:val="fr-CA"/>
        </w:rPr>
        <w:tab/>
        <w:t xml:space="preserve"> </w:t>
      </w:r>
      <w:r w:rsidRPr="00E04B87">
        <w:rPr>
          <w:lang w:val="fr-CA"/>
        </w:rPr>
        <w:tab/>
        <w:t xml:space="preserve"> </w:t>
      </w:r>
      <w:r w:rsidRPr="00E04B87">
        <w:rPr>
          <w:lang w:val="fr-CA"/>
        </w:rPr>
        <w:tab/>
        <w:t xml:space="preserve"> </w:t>
      </w:r>
    </w:p>
    <w:p w14:paraId="63D355DC" w14:textId="77777777" w:rsidR="004527CD" w:rsidRPr="00E04B87" w:rsidRDefault="004527CD" w:rsidP="004527CD">
      <w:pPr>
        <w:rPr>
          <w:lang w:val="fr-CA"/>
        </w:rPr>
      </w:pPr>
      <w:r w:rsidRPr="00E04B87">
        <w:rPr>
          <w:lang w:val="fr-CA"/>
        </w:rPr>
        <w:t xml:space="preserve"> </w:t>
      </w:r>
      <w:r w:rsidRPr="00E04B87">
        <w:rPr>
          <w:lang w:val="fr-CA"/>
        </w:rPr>
        <w:tab/>
        <w:t xml:space="preserve"> </w:t>
      </w:r>
      <w:r w:rsidRPr="00E04B87">
        <w:rPr>
          <w:lang w:val="fr-CA"/>
        </w:rPr>
        <w:tab/>
        <w:t xml:space="preserve"> </w:t>
      </w:r>
      <w:r w:rsidRPr="00E04B87">
        <w:rPr>
          <w:lang w:val="fr-CA"/>
        </w:rPr>
        <w:tab/>
        <w:t xml:space="preserve"> </w:t>
      </w:r>
      <w:r w:rsidRPr="00E04B87">
        <w:rPr>
          <w:lang w:val="fr-CA"/>
        </w:rPr>
        <w:tab/>
        <w:t xml:space="preserve"> </w:t>
      </w:r>
      <w:r w:rsidRPr="00E04B87">
        <w:rPr>
          <w:lang w:val="fr-CA"/>
        </w:rPr>
        <w:tab/>
        <w:t xml:space="preserve"> </w:t>
      </w:r>
      <w:r w:rsidRPr="00E04B87">
        <w:rPr>
          <w:lang w:val="fr-CA"/>
        </w:rPr>
        <w:tab/>
        <w:t xml:space="preserve"> </w:t>
      </w:r>
    </w:p>
    <w:p w14:paraId="3D91C1E6" w14:textId="77777777" w:rsidR="004527CD" w:rsidRPr="00E04B87" w:rsidRDefault="004527CD" w:rsidP="004527CD">
      <w:pPr>
        <w:rPr>
          <w:lang w:val="fr-CA"/>
        </w:rPr>
      </w:pPr>
      <w:r w:rsidRPr="00E04B87">
        <w:rPr>
          <w:lang w:val="fr-CA"/>
        </w:rPr>
        <w:t xml:space="preserve"> </w:t>
      </w:r>
      <w:r w:rsidRPr="00E04B87">
        <w:rPr>
          <w:lang w:val="fr-CA"/>
        </w:rPr>
        <w:tab/>
        <w:t xml:space="preserve"> </w:t>
      </w:r>
      <w:r w:rsidRPr="00E04B87">
        <w:rPr>
          <w:lang w:val="fr-CA"/>
        </w:rPr>
        <w:tab/>
        <w:t xml:space="preserve"> </w:t>
      </w:r>
      <w:r w:rsidRPr="00E04B87">
        <w:rPr>
          <w:lang w:val="fr-CA"/>
        </w:rPr>
        <w:tab/>
        <w:t xml:space="preserve"> </w:t>
      </w:r>
      <w:r w:rsidRPr="00E04B87">
        <w:rPr>
          <w:lang w:val="fr-CA"/>
        </w:rPr>
        <w:tab/>
        <w:t xml:space="preserve"> </w:t>
      </w:r>
      <w:r w:rsidRPr="00E04B87">
        <w:rPr>
          <w:lang w:val="fr-CA"/>
        </w:rPr>
        <w:tab/>
        <w:t xml:space="preserve"> </w:t>
      </w:r>
      <w:r w:rsidRPr="00E04B87">
        <w:rPr>
          <w:lang w:val="fr-CA"/>
        </w:rPr>
        <w:tab/>
        <w:t xml:space="preserve"> </w:t>
      </w:r>
    </w:p>
    <w:p w14:paraId="1BC85A64" w14:textId="77777777" w:rsidR="004527CD" w:rsidRPr="00E04B87" w:rsidRDefault="004527CD" w:rsidP="004527CD">
      <w:pPr>
        <w:rPr>
          <w:lang w:val="fr-CA"/>
        </w:rPr>
      </w:pPr>
      <w:r w:rsidRPr="00E04B87">
        <w:rPr>
          <w:lang w:val="fr-CA"/>
        </w:rPr>
        <w:t xml:space="preserve"> </w:t>
      </w:r>
      <w:r w:rsidRPr="00E04B87">
        <w:rPr>
          <w:lang w:val="fr-CA"/>
        </w:rPr>
        <w:tab/>
        <w:t xml:space="preserve"> </w:t>
      </w:r>
      <w:r w:rsidRPr="00E04B87">
        <w:rPr>
          <w:lang w:val="fr-CA"/>
        </w:rPr>
        <w:tab/>
        <w:t xml:space="preserve"> </w:t>
      </w:r>
      <w:r w:rsidRPr="00E04B87">
        <w:rPr>
          <w:lang w:val="fr-CA"/>
        </w:rPr>
        <w:tab/>
        <w:t xml:space="preserve"> </w:t>
      </w:r>
      <w:r w:rsidRPr="00E04B87">
        <w:rPr>
          <w:lang w:val="fr-CA"/>
        </w:rPr>
        <w:tab/>
        <w:t xml:space="preserve"> </w:t>
      </w:r>
      <w:r w:rsidRPr="00E04B87">
        <w:rPr>
          <w:lang w:val="fr-CA"/>
        </w:rPr>
        <w:tab/>
        <w:t xml:space="preserve"> </w:t>
      </w:r>
      <w:r w:rsidRPr="00E04B87">
        <w:rPr>
          <w:lang w:val="fr-CA"/>
        </w:rPr>
        <w:tab/>
        <w:t xml:space="preserve"> </w:t>
      </w:r>
    </w:p>
    <w:p w14:paraId="70406CE4" w14:textId="77777777" w:rsidR="004527CD" w:rsidRPr="00E04B87" w:rsidRDefault="004527CD" w:rsidP="00DA2A89">
      <w:pPr>
        <w:rPr>
          <w:lang w:val="fr-CA"/>
        </w:rPr>
      </w:pPr>
    </w:p>
    <w:p w14:paraId="729E5A5D" w14:textId="77777777" w:rsidR="005E3712" w:rsidRPr="00E04B87" w:rsidRDefault="005E3712" w:rsidP="00DA2A89">
      <w:pPr>
        <w:rPr>
          <w:lang w:val="fr-CA"/>
        </w:rPr>
      </w:pPr>
    </w:p>
    <w:sectPr w:rsidR="005E3712" w:rsidRPr="00E04B87" w:rsidSect="009D4A49">
      <w:footerReference w:type="first" r:id="rId13"/>
      <w:pgSz w:w="12240" w:h="15840"/>
      <w:pgMar w:top="1440" w:right="1080" w:bottom="1440" w:left="1800" w:header="706" w:footer="70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14EC" w14:textId="77777777" w:rsidR="00E62E0C" w:rsidRDefault="00E62E0C">
      <w:pPr>
        <w:spacing w:before="0" w:after="0" w:line="240" w:lineRule="auto"/>
      </w:pPr>
      <w:r>
        <w:separator/>
      </w:r>
    </w:p>
  </w:endnote>
  <w:endnote w:type="continuationSeparator" w:id="0">
    <w:p w14:paraId="4644E9A1" w14:textId="77777777" w:rsidR="00E62E0C" w:rsidRDefault="00E62E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B12F" w14:textId="7E8EB627" w:rsidR="003E3DD1" w:rsidRPr="00395B7E" w:rsidRDefault="00547300" w:rsidP="00395B7E">
    <w:pPr>
      <w:pStyle w:val="Footer"/>
      <w:rPr>
        <w:color w:val="777777" w:themeColor="background2" w:themeShade="80"/>
      </w:rPr>
    </w:pPr>
    <w:r>
      <w:rPr>
        <w:color w:val="777777" w:themeColor="background2" w:themeShade="80"/>
      </w:rPr>
      <w:t xml:space="preserve">Politique et </w:t>
    </w:r>
    <w:proofErr w:type="spellStart"/>
    <w:r>
      <w:rPr>
        <w:color w:val="777777" w:themeColor="background2" w:themeShade="80"/>
      </w:rPr>
      <w:t>procédures</w:t>
    </w:r>
    <w:proofErr w:type="spellEnd"/>
    <w:r>
      <w:rPr>
        <w:color w:val="777777" w:themeColor="background2" w:themeShade="80"/>
      </w:rPr>
      <w:t xml:space="preserve"> relative</w:t>
    </w:r>
    <w:r w:rsidR="00050CB5">
      <w:rPr>
        <w:color w:val="777777" w:themeColor="background2" w:themeShade="80"/>
      </w:rPr>
      <w:t>s</w:t>
    </w:r>
    <w:r>
      <w:rPr>
        <w:color w:val="777777" w:themeColor="background2" w:themeShade="80"/>
      </w:rPr>
      <w:t xml:space="preserve"> à la gestion de </w:t>
    </w:r>
    <w:proofErr w:type="spellStart"/>
    <w:r>
      <w:rPr>
        <w:color w:val="777777" w:themeColor="background2" w:themeShade="80"/>
      </w:rPr>
      <w:t>l’information</w:t>
    </w:r>
    <w:proofErr w:type="spellEnd"/>
    <w:r>
      <w:rPr>
        <w:color w:val="777777" w:themeColor="background2" w:themeShade="80"/>
      </w:rPr>
      <w:t xml:space="preserve"> </w:t>
    </w:r>
    <w:r w:rsidRPr="00395B7E">
      <w:rPr>
        <w:color w:val="777777" w:themeColor="background2" w:themeShade="80"/>
      </w:rPr>
      <w:t>|</w:t>
    </w:r>
    <w:r>
      <w:rPr>
        <w:color w:val="777777" w:themeColor="background2" w:themeShade="80"/>
      </w:rPr>
      <w:t xml:space="preserve"> Première Nation </w:t>
    </w:r>
    <w:r w:rsidR="003E3DD1" w:rsidRPr="00395B7E">
      <w:rPr>
        <w:color w:val="777777" w:themeColor="background2" w:themeShade="80"/>
      </w:rPr>
      <w:t>[ ______]</w:t>
    </w:r>
    <w:r w:rsidR="003E3DD1" w:rsidRPr="00395B7E">
      <w:rPr>
        <w:color w:val="777777" w:themeColor="background2" w:themeShade="80"/>
      </w:rPr>
      <w:tab/>
    </w:r>
    <w:r w:rsidR="003E3DD1">
      <w:fldChar w:fldCharType="begin"/>
    </w:r>
    <w:r w:rsidR="003E3DD1">
      <w:instrText xml:space="preserve"> PAGE  \* MERGEFORMAT </w:instrText>
    </w:r>
    <w:r w:rsidR="003E3DD1">
      <w:fldChar w:fldCharType="separate"/>
    </w:r>
    <w:r w:rsidR="003E3DD1" w:rsidRPr="00527FE3">
      <w:rPr>
        <w:b/>
        <w:noProof/>
        <w:color w:val="777777" w:themeColor="background2" w:themeShade="80"/>
      </w:rPr>
      <w:t>1</w:t>
    </w:r>
    <w:r w:rsidR="003E3DD1">
      <w:rPr>
        <w:b/>
        <w:noProof/>
        <w:color w:val="777777" w:themeColor="background2"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0A26" w14:textId="77777777" w:rsidR="003E3DD1" w:rsidRPr="007D6652" w:rsidRDefault="003E3DD1" w:rsidP="007D6652">
    <w:pPr>
      <w:pStyle w:val="Footer"/>
      <w:pBdr>
        <w:top w:val="none" w:sz="0" w:space="0" w:color="auto"/>
      </w:pBd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FD80" w14:textId="247FEAE6" w:rsidR="003E3DD1" w:rsidRPr="007D6652" w:rsidRDefault="003E3DD1" w:rsidP="007D6652">
    <w:pPr>
      <w:pStyle w:val="Footer"/>
      <w:rPr>
        <w:color w:val="777777" w:themeColor="background2" w:themeShade="80"/>
      </w:rPr>
    </w:pPr>
    <w:r w:rsidRPr="00395B7E">
      <w:rPr>
        <w:color w:val="777777" w:themeColor="background2" w:themeShade="80"/>
      </w:rPr>
      <w:t xml:space="preserve">[ ______] First Nation | </w:t>
    </w:r>
    <w:r>
      <w:rPr>
        <w:color w:val="777777" w:themeColor="background2" w:themeShade="80"/>
      </w:rPr>
      <w:t>Information Management</w:t>
    </w:r>
    <w:r w:rsidRPr="00395B7E">
      <w:rPr>
        <w:color w:val="777777" w:themeColor="background2" w:themeShade="80"/>
      </w:rPr>
      <w:t xml:space="preserve"> Policy</w:t>
    </w:r>
    <w:r>
      <w:rPr>
        <w:color w:val="777777" w:themeColor="background2" w:themeShade="80"/>
      </w:rPr>
      <w:t xml:space="preserve"> and </w:t>
    </w:r>
    <w:proofErr w:type="spellStart"/>
    <w:r>
      <w:rPr>
        <w:color w:val="777777" w:themeColor="background2" w:themeShade="80"/>
      </w:rPr>
      <w:t>Procédures</w:t>
    </w:r>
    <w:proofErr w:type="spellEnd"/>
    <w:r w:rsidRPr="00395B7E">
      <w:rPr>
        <w:color w:val="777777" w:themeColor="background2" w:themeShade="80"/>
      </w:rPr>
      <w:tab/>
    </w:r>
    <w:r>
      <w:fldChar w:fldCharType="begin"/>
    </w:r>
    <w:r>
      <w:instrText xml:space="preserve"> PAGE  \* MERGEFORMAT </w:instrText>
    </w:r>
    <w:r>
      <w:fldChar w:fldCharType="separate"/>
    </w:r>
    <w:r w:rsidRPr="009D4A49">
      <w:rPr>
        <w:b/>
        <w:noProof/>
        <w:color w:val="777777" w:themeColor="background2" w:themeShade="80"/>
      </w:rPr>
      <w:t>1</w:t>
    </w:r>
    <w:r>
      <w:rPr>
        <w:b/>
        <w:noProof/>
        <w:color w:val="777777" w:themeColor="background2"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342C" w14:textId="77777777" w:rsidR="00E62E0C" w:rsidRDefault="00E62E0C">
      <w:pPr>
        <w:spacing w:before="0" w:after="0" w:line="240" w:lineRule="auto"/>
      </w:pPr>
      <w:r>
        <w:separator/>
      </w:r>
    </w:p>
  </w:footnote>
  <w:footnote w:type="continuationSeparator" w:id="0">
    <w:p w14:paraId="231D6D43" w14:textId="77777777" w:rsidR="00E62E0C" w:rsidRDefault="00E62E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886" w14:textId="77777777" w:rsidR="003E3DD1" w:rsidRPr="009F6162" w:rsidRDefault="003E3DD1" w:rsidP="009F61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D824" w14:textId="77777777" w:rsidR="003E3DD1" w:rsidRDefault="003E3DD1" w:rsidP="009F616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8EB"/>
    <w:multiLevelType w:val="hybridMultilevel"/>
    <w:tmpl w:val="3FD07FA2"/>
    <w:lvl w:ilvl="0" w:tplc="10090019">
      <w:start w:val="1"/>
      <w:numFmt w:val="bullet"/>
      <w:pStyle w:val="ListParagraph"/>
      <w:lvlText w:val="•"/>
      <w:lvlJc w:val="left"/>
      <w:pPr>
        <w:tabs>
          <w:tab w:val="num" w:pos="0"/>
        </w:tabs>
        <w:ind w:left="360" w:hanging="360"/>
      </w:pPr>
      <w:rPr>
        <w:rFonts w:ascii="Arial" w:hAnsi="Arial" w:hint="default"/>
        <w:b w:val="0"/>
        <w:i w:val="0"/>
        <w:color w:val="000000" w:themeColor="text1"/>
      </w:rPr>
    </w:lvl>
    <w:lvl w:ilvl="1" w:tplc="10090019">
      <w:start w:val="1"/>
      <w:numFmt w:val="bullet"/>
      <w:lvlText w:val="o"/>
      <w:lvlJc w:val="left"/>
      <w:pPr>
        <w:ind w:left="1440" w:hanging="360"/>
      </w:pPr>
      <w:rPr>
        <w:rFonts w:ascii="Courier New" w:hAnsi="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1" w15:restartNumberingAfterBreak="0">
    <w:nsid w:val="23D60D39"/>
    <w:multiLevelType w:val="multilevel"/>
    <w:tmpl w:val="D22451B0"/>
    <w:styleLink w:val="Style2"/>
    <w:lvl w:ilvl="0">
      <w:start w:val="1"/>
      <w:numFmt w:val="decimal"/>
      <w:lvlText w:val="%1"/>
      <w:lvlJc w:val="left"/>
      <w:pPr>
        <w:ind w:left="360" w:hanging="360"/>
      </w:pPr>
      <w:rPr>
        <w:rFonts w:ascii="Times New Roman" w:hAnsi="Times New Roman" w:cs="Times New Roman" w:hint="default"/>
        <w:b/>
        <w:sz w:val="24"/>
        <w:szCs w:val="24"/>
      </w:rPr>
    </w:lvl>
    <w:lvl w:ilvl="1">
      <w:start w:val="1"/>
      <w:numFmt w:val="none"/>
      <w:lvlText w:val="(1)"/>
      <w:lvlJc w:val="left"/>
      <w:pPr>
        <w:ind w:left="1080" w:hanging="360"/>
      </w:pPr>
      <w:rPr>
        <w:rFonts w:cs="Times New Roman" w:hint="default"/>
      </w:rPr>
    </w:lvl>
    <w:lvl w:ilvl="2">
      <w:start w:val="1"/>
      <w:numFmt w:val="lowerLetter"/>
      <w:lvlText w:val="(%3)"/>
      <w:lvlJc w:val="lef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 w15:restartNumberingAfterBreak="0">
    <w:nsid w:val="42242867"/>
    <w:multiLevelType w:val="multilevel"/>
    <w:tmpl w:val="FAEA6C42"/>
    <w:lvl w:ilvl="0">
      <w:start w:val="1"/>
      <w:numFmt w:val="decimal"/>
      <w:pStyle w:val="Heading1"/>
      <w:lvlText w:val="%1."/>
      <w:lvlJc w:val="left"/>
      <w:pPr>
        <w:ind w:left="-852" w:hanging="360"/>
      </w:pPr>
      <w:rPr>
        <w:rFonts w:hint="default"/>
      </w:rPr>
    </w:lvl>
    <w:lvl w:ilvl="1">
      <w:start w:val="1"/>
      <w:numFmt w:val="decimal"/>
      <w:pStyle w:val="Heading2"/>
      <w:lvlText w:val="%1.%2"/>
      <w:lvlJc w:val="left"/>
      <w:pPr>
        <w:ind w:left="-420" w:hanging="432"/>
      </w:pPr>
      <w:rPr>
        <w:rFonts w:hint="default"/>
      </w:rPr>
    </w:lvl>
    <w:lvl w:ilvl="2">
      <w:start w:val="1"/>
      <w:numFmt w:val="decimal"/>
      <w:lvlText w:val="%1.%2.%3"/>
      <w:lvlJc w:val="left"/>
      <w:pPr>
        <w:ind w:left="12" w:hanging="504"/>
      </w:pPr>
      <w:rPr>
        <w:rFonts w:hint="default"/>
      </w:rPr>
    </w:lvl>
    <w:lvl w:ilvl="3">
      <w:start w:val="1"/>
      <w:numFmt w:val="decimal"/>
      <w:lvlText w:val="%1.%2.%3.%4."/>
      <w:lvlJc w:val="left"/>
      <w:pPr>
        <w:ind w:left="516" w:hanging="648"/>
      </w:pPr>
      <w:rPr>
        <w:rFonts w:hint="default"/>
      </w:rPr>
    </w:lvl>
    <w:lvl w:ilvl="4">
      <w:start w:val="1"/>
      <w:numFmt w:val="decimal"/>
      <w:lvlText w:val="%1.%2.%3.%4.%5."/>
      <w:lvlJc w:val="left"/>
      <w:pPr>
        <w:ind w:left="1020" w:hanging="792"/>
      </w:pPr>
      <w:rPr>
        <w:rFonts w:hint="default"/>
      </w:rPr>
    </w:lvl>
    <w:lvl w:ilvl="5">
      <w:start w:val="1"/>
      <w:numFmt w:val="decimal"/>
      <w:lvlText w:val="%1.%2.%3.%4.%5.%6."/>
      <w:lvlJc w:val="left"/>
      <w:pPr>
        <w:ind w:left="1524" w:hanging="936"/>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532" w:hanging="1224"/>
      </w:pPr>
      <w:rPr>
        <w:rFonts w:hint="default"/>
      </w:rPr>
    </w:lvl>
    <w:lvl w:ilvl="8">
      <w:start w:val="1"/>
      <w:numFmt w:val="decimal"/>
      <w:lvlText w:val="%1.%2.%3.%4.%5.%6.%7.%8.%9."/>
      <w:lvlJc w:val="left"/>
      <w:pPr>
        <w:ind w:left="3108" w:hanging="1440"/>
      </w:pPr>
      <w:rPr>
        <w:rFonts w:hint="default"/>
      </w:rPr>
    </w:lvl>
  </w:abstractNum>
  <w:abstractNum w:abstractNumId="3" w15:restartNumberingAfterBreak="0">
    <w:nsid w:val="4EC64544"/>
    <w:multiLevelType w:val="multilevel"/>
    <w:tmpl w:val="8DAEB360"/>
    <w:lvl w:ilvl="0">
      <w:start w:val="1"/>
      <w:numFmt w:val="decimal"/>
      <w:pStyle w:val="NormalNoir"/>
      <w:lvlText w:val="(%1)"/>
      <w:lvlJc w:val="left"/>
      <w:pPr>
        <w:ind w:left="1253" w:hanging="346"/>
      </w:pPr>
      <w:rPr>
        <w:rFonts w:hint="default"/>
      </w:rPr>
    </w:lvl>
    <w:lvl w:ilvl="1">
      <w:start w:val="1"/>
      <w:numFmt w:val="lowerLetter"/>
      <w:lvlText w:val="%2."/>
      <w:lvlJc w:val="left"/>
      <w:pPr>
        <w:ind w:left="2700" w:hanging="360"/>
      </w:pPr>
      <w:rPr>
        <w:rFonts w:hint="default"/>
      </w:rPr>
    </w:lvl>
    <w:lvl w:ilvl="2">
      <w:start w:val="1"/>
      <w:numFmt w:val="lowerRoman"/>
      <w:lvlText w:val="%3."/>
      <w:lvlJc w:val="right"/>
      <w:pPr>
        <w:ind w:left="3420" w:hanging="180"/>
      </w:pPr>
      <w:rPr>
        <w:rFonts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4" w15:restartNumberingAfterBreak="0">
    <w:nsid w:val="6EA20AEE"/>
    <w:multiLevelType w:val="hybridMultilevel"/>
    <w:tmpl w:val="CDB67474"/>
    <w:lvl w:ilvl="0" w:tplc="90CC5D82">
      <w:start w:val="1"/>
      <w:numFmt w:val="upperLetter"/>
      <w:pStyle w:val="NormalSub"/>
      <w:lvlText w:val="%1."/>
      <w:lvlJc w:val="left"/>
      <w:pPr>
        <w:ind w:left="720" w:hanging="360"/>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15:restartNumberingAfterBreak="0">
    <w:nsid w:val="77D86B5C"/>
    <w:multiLevelType w:val="multilevel"/>
    <w:tmpl w:val="2696C066"/>
    <w:styleLink w:val="Style3"/>
    <w:lvl w:ilvl="0">
      <w:start w:val="1"/>
      <w:numFmt w:val="upperLetter"/>
      <w:lvlText w:val="%1."/>
      <w:lvlJc w:val="left"/>
      <w:pPr>
        <w:ind w:left="360" w:firstLine="207"/>
      </w:pPr>
      <w:rPr>
        <w:rFonts w:hint="default"/>
        <w:b/>
        <w:sz w:val="24"/>
        <w:szCs w:val="24"/>
      </w:rPr>
    </w:lvl>
    <w:lvl w:ilvl="1">
      <w:start w:val="1"/>
      <w:numFmt w:val="decimal"/>
      <w:lvlText w:val="(%2)"/>
      <w:lvlJc w:val="left"/>
      <w:pPr>
        <w:ind w:left="927" w:hanging="360"/>
      </w:pPr>
      <w:rPr>
        <w:rFonts w:cs="Times New Roman" w:hint="default"/>
      </w:rPr>
    </w:lvl>
    <w:lvl w:ilvl="2">
      <w:start w:val="1"/>
      <w:numFmt w:val="lowerLetter"/>
      <w:lvlText w:val="(%3)"/>
      <w:lvlJc w:val="left"/>
      <w:pPr>
        <w:ind w:left="1917" w:hanging="180"/>
      </w:pPr>
      <w:rPr>
        <w:rFonts w:ascii="Calibri" w:eastAsia="MS Mincho" w:hAnsi="Calibri"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6" w15:restartNumberingAfterBreak="0">
    <w:nsid w:val="7BBF1A34"/>
    <w:multiLevelType w:val="hybridMultilevel"/>
    <w:tmpl w:val="24E847E0"/>
    <w:lvl w:ilvl="0" w:tplc="FF7A9F2C">
      <w:start w:val="1"/>
      <w:numFmt w:val="bullet"/>
      <w:pStyle w:val="subbullet"/>
      <w:lvlText w:val="–"/>
      <w:lvlJc w:val="left"/>
      <w:pPr>
        <w:ind w:left="720" w:firstLine="0"/>
      </w:pPr>
      <w:rPr>
        <w:rFonts w:asciiTheme="minorHAnsi" w:hAnsiTheme="minorHAnsi" w:hint="default"/>
        <w:color w:val="000000" w:themeColor="text1"/>
        <w:u w:val="none"/>
      </w:rPr>
    </w:lvl>
    <w:lvl w:ilvl="1" w:tplc="10090019" w:tentative="1">
      <w:start w:val="1"/>
      <w:numFmt w:val="bullet"/>
      <w:lvlText w:val="o"/>
      <w:lvlJc w:val="left"/>
      <w:pPr>
        <w:ind w:left="1440" w:hanging="360"/>
      </w:pPr>
      <w:rPr>
        <w:rFonts w:ascii="Courier New" w:hAnsi="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hint="default"/>
      </w:rPr>
    </w:lvl>
    <w:lvl w:ilvl="8" w:tplc="1009001B"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19"/>
    <w:rsid w:val="00002F18"/>
    <w:rsid w:val="00004745"/>
    <w:rsid w:val="00006CB5"/>
    <w:rsid w:val="00013E9E"/>
    <w:rsid w:val="000154DD"/>
    <w:rsid w:val="0001691E"/>
    <w:rsid w:val="00032285"/>
    <w:rsid w:val="00034096"/>
    <w:rsid w:val="00045A80"/>
    <w:rsid w:val="00050434"/>
    <w:rsid w:val="00050CB5"/>
    <w:rsid w:val="00055406"/>
    <w:rsid w:val="00060AAD"/>
    <w:rsid w:val="000618BB"/>
    <w:rsid w:val="00064C43"/>
    <w:rsid w:val="00073136"/>
    <w:rsid w:val="00076B61"/>
    <w:rsid w:val="000847FC"/>
    <w:rsid w:val="00090AD0"/>
    <w:rsid w:val="0009128E"/>
    <w:rsid w:val="00091F84"/>
    <w:rsid w:val="000A729F"/>
    <w:rsid w:val="000B2D16"/>
    <w:rsid w:val="000B2E2B"/>
    <w:rsid w:val="000B3F7F"/>
    <w:rsid w:val="000B5207"/>
    <w:rsid w:val="000B7184"/>
    <w:rsid w:val="000C4185"/>
    <w:rsid w:val="000C4E20"/>
    <w:rsid w:val="000E6AAD"/>
    <w:rsid w:val="000F3C17"/>
    <w:rsid w:val="000F7D53"/>
    <w:rsid w:val="001049CA"/>
    <w:rsid w:val="00112595"/>
    <w:rsid w:val="00121661"/>
    <w:rsid w:val="00127127"/>
    <w:rsid w:val="00127905"/>
    <w:rsid w:val="00131D76"/>
    <w:rsid w:val="00134D24"/>
    <w:rsid w:val="001379E7"/>
    <w:rsid w:val="00145AFC"/>
    <w:rsid w:val="00145DFC"/>
    <w:rsid w:val="00146168"/>
    <w:rsid w:val="0015776B"/>
    <w:rsid w:val="001606F9"/>
    <w:rsid w:val="001659E0"/>
    <w:rsid w:val="00170A62"/>
    <w:rsid w:val="0017256C"/>
    <w:rsid w:val="001760D7"/>
    <w:rsid w:val="00180413"/>
    <w:rsid w:val="0018165E"/>
    <w:rsid w:val="001875A8"/>
    <w:rsid w:val="0018767B"/>
    <w:rsid w:val="001A0819"/>
    <w:rsid w:val="001A7340"/>
    <w:rsid w:val="001B084B"/>
    <w:rsid w:val="001B5A29"/>
    <w:rsid w:val="001B79EA"/>
    <w:rsid w:val="001C00A3"/>
    <w:rsid w:val="001C3155"/>
    <w:rsid w:val="001D0EE7"/>
    <w:rsid w:val="001D7866"/>
    <w:rsid w:val="00201BC5"/>
    <w:rsid w:val="00204E9A"/>
    <w:rsid w:val="002105AC"/>
    <w:rsid w:val="002136C4"/>
    <w:rsid w:val="002141A0"/>
    <w:rsid w:val="00217171"/>
    <w:rsid w:val="002232D6"/>
    <w:rsid w:val="0022787C"/>
    <w:rsid w:val="00242D3E"/>
    <w:rsid w:val="00243C90"/>
    <w:rsid w:val="00244EA0"/>
    <w:rsid w:val="00250E4F"/>
    <w:rsid w:val="00254406"/>
    <w:rsid w:val="002560E3"/>
    <w:rsid w:val="00262FD1"/>
    <w:rsid w:val="00263296"/>
    <w:rsid w:val="002668AF"/>
    <w:rsid w:val="00272465"/>
    <w:rsid w:val="00277D70"/>
    <w:rsid w:val="0028290B"/>
    <w:rsid w:val="00283331"/>
    <w:rsid w:val="00285BA2"/>
    <w:rsid w:val="00286322"/>
    <w:rsid w:val="002902C8"/>
    <w:rsid w:val="0029080E"/>
    <w:rsid w:val="002A70CF"/>
    <w:rsid w:val="002C27D5"/>
    <w:rsid w:val="002C64E6"/>
    <w:rsid w:val="002D5671"/>
    <w:rsid w:val="002D62B2"/>
    <w:rsid w:val="002E3F4E"/>
    <w:rsid w:val="002E7997"/>
    <w:rsid w:val="002E7D08"/>
    <w:rsid w:val="00305FC7"/>
    <w:rsid w:val="00311192"/>
    <w:rsid w:val="00324936"/>
    <w:rsid w:val="0033250A"/>
    <w:rsid w:val="003329D0"/>
    <w:rsid w:val="00333EA2"/>
    <w:rsid w:val="00337CDE"/>
    <w:rsid w:val="00337D28"/>
    <w:rsid w:val="00342B64"/>
    <w:rsid w:val="003438DA"/>
    <w:rsid w:val="00350390"/>
    <w:rsid w:val="003534F1"/>
    <w:rsid w:val="00353CF0"/>
    <w:rsid w:val="00356117"/>
    <w:rsid w:val="003562F8"/>
    <w:rsid w:val="003607F1"/>
    <w:rsid w:val="00363B1B"/>
    <w:rsid w:val="00370332"/>
    <w:rsid w:val="003740AB"/>
    <w:rsid w:val="00374935"/>
    <w:rsid w:val="00376634"/>
    <w:rsid w:val="00380AB9"/>
    <w:rsid w:val="00395175"/>
    <w:rsid w:val="00395B7E"/>
    <w:rsid w:val="003A6037"/>
    <w:rsid w:val="003A7CBD"/>
    <w:rsid w:val="003B2993"/>
    <w:rsid w:val="003B3562"/>
    <w:rsid w:val="003B4049"/>
    <w:rsid w:val="003B5C7C"/>
    <w:rsid w:val="003C065D"/>
    <w:rsid w:val="003D17A2"/>
    <w:rsid w:val="003D5EC9"/>
    <w:rsid w:val="003E3DD1"/>
    <w:rsid w:val="003F0BF9"/>
    <w:rsid w:val="003F2453"/>
    <w:rsid w:val="003F7BA5"/>
    <w:rsid w:val="00400B93"/>
    <w:rsid w:val="00403C77"/>
    <w:rsid w:val="00406F61"/>
    <w:rsid w:val="00414EDF"/>
    <w:rsid w:val="0042077C"/>
    <w:rsid w:val="00430AAE"/>
    <w:rsid w:val="004324CA"/>
    <w:rsid w:val="0044298A"/>
    <w:rsid w:val="00442C3B"/>
    <w:rsid w:val="00447F25"/>
    <w:rsid w:val="004527CD"/>
    <w:rsid w:val="004571A2"/>
    <w:rsid w:val="00467C46"/>
    <w:rsid w:val="00472090"/>
    <w:rsid w:val="004752F6"/>
    <w:rsid w:val="004836F5"/>
    <w:rsid w:val="00486D8F"/>
    <w:rsid w:val="00486F86"/>
    <w:rsid w:val="00487868"/>
    <w:rsid w:val="004947A7"/>
    <w:rsid w:val="004A3617"/>
    <w:rsid w:val="004A4841"/>
    <w:rsid w:val="004A5A68"/>
    <w:rsid w:val="004B35F4"/>
    <w:rsid w:val="004B5718"/>
    <w:rsid w:val="004C39DF"/>
    <w:rsid w:val="004E4DAE"/>
    <w:rsid w:val="004E5DC3"/>
    <w:rsid w:val="004E7210"/>
    <w:rsid w:val="00526872"/>
    <w:rsid w:val="00527FE3"/>
    <w:rsid w:val="00547300"/>
    <w:rsid w:val="00551E30"/>
    <w:rsid w:val="005745E3"/>
    <w:rsid w:val="005821F4"/>
    <w:rsid w:val="00582EB2"/>
    <w:rsid w:val="00585DF6"/>
    <w:rsid w:val="00594704"/>
    <w:rsid w:val="005A513E"/>
    <w:rsid w:val="005B3CAE"/>
    <w:rsid w:val="005B66A0"/>
    <w:rsid w:val="005B6BB0"/>
    <w:rsid w:val="005D272A"/>
    <w:rsid w:val="005D53AA"/>
    <w:rsid w:val="005E3712"/>
    <w:rsid w:val="005E5165"/>
    <w:rsid w:val="005E5A1D"/>
    <w:rsid w:val="005E5CA8"/>
    <w:rsid w:val="005E6EA5"/>
    <w:rsid w:val="005E7558"/>
    <w:rsid w:val="005E7D5B"/>
    <w:rsid w:val="005F3A67"/>
    <w:rsid w:val="0060674A"/>
    <w:rsid w:val="00611752"/>
    <w:rsid w:val="00622367"/>
    <w:rsid w:val="0063258A"/>
    <w:rsid w:val="0064589D"/>
    <w:rsid w:val="0065030A"/>
    <w:rsid w:val="006521DD"/>
    <w:rsid w:val="00655552"/>
    <w:rsid w:val="006565B6"/>
    <w:rsid w:val="006567E3"/>
    <w:rsid w:val="00671815"/>
    <w:rsid w:val="00671DB0"/>
    <w:rsid w:val="00673B11"/>
    <w:rsid w:val="00673FB0"/>
    <w:rsid w:val="006767C9"/>
    <w:rsid w:val="00693155"/>
    <w:rsid w:val="00694DB8"/>
    <w:rsid w:val="006A4B55"/>
    <w:rsid w:val="006A6896"/>
    <w:rsid w:val="006A6ADC"/>
    <w:rsid w:val="006B3041"/>
    <w:rsid w:val="006C21C2"/>
    <w:rsid w:val="006C2801"/>
    <w:rsid w:val="006D6D0C"/>
    <w:rsid w:val="006E2A0D"/>
    <w:rsid w:val="007023B9"/>
    <w:rsid w:val="00705A18"/>
    <w:rsid w:val="00711ED8"/>
    <w:rsid w:val="007162EB"/>
    <w:rsid w:val="00716B1A"/>
    <w:rsid w:val="00726627"/>
    <w:rsid w:val="00727EA9"/>
    <w:rsid w:val="00733636"/>
    <w:rsid w:val="007351C7"/>
    <w:rsid w:val="0073726B"/>
    <w:rsid w:val="0074551E"/>
    <w:rsid w:val="00753930"/>
    <w:rsid w:val="007557DB"/>
    <w:rsid w:val="00781F0A"/>
    <w:rsid w:val="007904CF"/>
    <w:rsid w:val="00793224"/>
    <w:rsid w:val="007A494E"/>
    <w:rsid w:val="007A4EBF"/>
    <w:rsid w:val="007A54F8"/>
    <w:rsid w:val="007B22DA"/>
    <w:rsid w:val="007B62CD"/>
    <w:rsid w:val="007C37F8"/>
    <w:rsid w:val="007D46D7"/>
    <w:rsid w:val="007D6652"/>
    <w:rsid w:val="007D78CD"/>
    <w:rsid w:val="007E62E0"/>
    <w:rsid w:val="007E6AC8"/>
    <w:rsid w:val="007F70B7"/>
    <w:rsid w:val="00801F5C"/>
    <w:rsid w:val="00802759"/>
    <w:rsid w:val="0080365A"/>
    <w:rsid w:val="0080453B"/>
    <w:rsid w:val="0081061E"/>
    <w:rsid w:val="00813F3C"/>
    <w:rsid w:val="00814688"/>
    <w:rsid w:val="00816DC4"/>
    <w:rsid w:val="00817E05"/>
    <w:rsid w:val="0082489F"/>
    <w:rsid w:val="00827EB4"/>
    <w:rsid w:val="00830328"/>
    <w:rsid w:val="008328FE"/>
    <w:rsid w:val="008404DB"/>
    <w:rsid w:val="008647DE"/>
    <w:rsid w:val="008704F4"/>
    <w:rsid w:val="00871D82"/>
    <w:rsid w:val="008722C4"/>
    <w:rsid w:val="00877A36"/>
    <w:rsid w:val="00886F03"/>
    <w:rsid w:val="00891CC5"/>
    <w:rsid w:val="00892687"/>
    <w:rsid w:val="00892A5E"/>
    <w:rsid w:val="008A1555"/>
    <w:rsid w:val="008A7356"/>
    <w:rsid w:val="008B1D3B"/>
    <w:rsid w:val="008C200A"/>
    <w:rsid w:val="008C5F54"/>
    <w:rsid w:val="008D19F4"/>
    <w:rsid w:val="008D4296"/>
    <w:rsid w:val="008E1A25"/>
    <w:rsid w:val="008F26C4"/>
    <w:rsid w:val="008F35D4"/>
    <w:rsid w:val="008F59FF"/>
    <w:rsid w:val="008F6C0A"/>
    <w:rsid w:val="00921686"/>
    <w:rsid w:val="00924B15"/>
    <w:rsid w:val="00924EA8"/>
    <w:rsid w:val="0092506F"/>
    <w:rsid w:val="00932462"/>
    <w:rsid w:val="0093293F"/>
    <w:rsid w:val="009358E5"/>
    <w:rsid w:val="00950609"/>
    <w:rsid w:val="00957551"/>
    <w:rsid w:val="00960227"/>
    <w:rsid w:val="00960801"/>
    <w:rsid w:val="00961F38"/>
    <w:rsid w:val="00964608"/>
    <w:rsid w:val="00964D25"/>
    <w:rsid w:val="00965477"/>
    <w:rsid w:val="009845A2"/>
    <w:rsid w:val="00986E65"/>
    <w:rsid w:val="00987857"/>
    <w:rsid w:val="009A2080"/>
    <w:rsid w:val="009A4E65"/>
    <w:rsid w:val="009A7CE2"/>
    <w:rsid w:val="009B2DBE"/>
    <w:rsid w:val="009B363A"/>
    <w:rsid w:val="009B3DB1"/>
    <w:rsid w:val="009C5B1C"/>
    <w:rsid w:val="009D0519"/>
    <w:rsid w:val="009D4A49"/>
    <w:rsid w:val="009D5166"/>
    <w:rsid w:val="009E4C2A"/>
    <w:rsid w:val="009F0836"/>
    <w:rsid w:val="009F35EC"/>
    <w:rsid w:val="009F6162"/>
    <w:rsid w:val="00A04513"/>
    <w:rsid w:val="00A04B20"/>
    <w:rsid w:val="00A05D35"/>
    <w:rsid w:val="00A23974"/>
    <w:rsid w:val="00A3744E"/>
    <w:rsid w:val="00A46037"/>
    <w:rsid w:val="00A4708E"/>
    <w:rsid w:val="00A60E28"/>
    <w:rsid w:val="00A672CB"/>
    <w:rsid w:val="00A673A5"/>
    <w:rsid w:val="00A67411"/>
    <w:rsid w:val="00A8060E"/>
    <w:rsid w:val="00A81D51"/>
    <w:rsid w:val="00A97B45"/>
    <w:rsid w:val="00AA08AE"/>
    <w:rsid w:val="00AA6076"/>
    <w:rsid w:val="00AB19A7"/>
    <w:rsid w:val="00AB6758"/>
    <w:rsid w:val="00AC16F5"/>
    <w:rsid w:val="00AC33FA"/>
    <w:rsid w:val="00AC5D28"/>
    <w:rsid w:val="00AE1707"/>
    <w:rsid w:val="00AF4BED"/>
    <w:rsid w:val="00B016E8"/>
    <w:rsid w:val="00B031B9"/>
    <w:rsid w:val="00B06C6E"/>
    <w:rsid w:val="00B174DE"/>
    <w:rsid w:val="00B2221A"/>
    <w:rsid w:val="00B247A2"/>
    <w:rsid w:val="00B24AC3"/>
    <w:rsid w:val="00B26561"/>
    <w:rsid w:val="00B339FC"/>
    <w:rsid w:val="00B41613"/>
    <w:rsid w:val="00B44097"/>
    <w:rsid w:val="00B44EDB"/>
    <w:rsid w:val="00B460F4"/>
    <w:rsid w:val="00B51633"/>
    <w:rsid w:val="00B55CEE"/>
    <w:rsid w:val="00B63229"/>
    <w:rsid w:val="00B7261D"/>
    <w:rsid w:val="00B72AAA"/>
    <w:rsid w:val="00B75B3E"/>
    <w:rsid w:val="00B82C8F"/>
    <w:rsid w:val="00B8568A"/>
    <w:rsid w:val="00B87242"/>
    <w:rsid w:val="00BA39A7"/>
    <w:rsid w:val="00BA6F14"/>
    <w:rsid w:val="00BB030A"/>
    <w:rsid w:val="00BB7459"/>
    <w:rsid w:val="00BD0661"/>
    <w:rsid w:val="00BD217F"/>
    <w:rsid w:val="00BE3B87"/>
    <w:rsid w:val="00BF2A2A"/>
    <w:rsid w:val="00BF4DAE"/>
    <w:rsid w:val="00BF60AC"/>
    <w:rsid w:val="00C070E1"/>
    <w:rsid w:val="00C14C91"/>
    <w:rsid w:val="00C21BB5"/>
    <w:rsid w:val="00C25185"/>
    <w:rsid w:val="00C27658"/>
    <w:rsid w:val="00C36142"/>
    <w:rsid w:val="00C3696C"/>
    <w:rsid w:val="00C42574"/>
    <w:rsid w:val="00C46512"/>
    <w:rsid w:val="00C52326"/>
    <w:rsid w:val="00C5578F"/>
    <w:rsid w:val="00C57B25"/>
    <w:rsid w:val="00C70B85"/>
    <w:rsid w:val="00C82BAD"/>
    <w:rsid w:val="00C877AF"/>
    <w:rsid w:val="00C87A96"/>
    <w:rsid w:val="00C90689"/>
    <w:rsid w:val="00C96B9F"/>
    <w:rsid w:val="00CA100C"/>
    <w:rsid w:val="00CA4D25"/>
    <w:rsid w:val="00CA60AF"/>
    <w:rsid w:val="00CB2710"/>
    <w:rsid w:val="00CB6F08"/>
    <w:rsid w:val="00CB782C"/>
    <w:rsid w:val="00CD7C86"/>
    <w:rsid w:val="00CE3A37"/>
    <w:rsid w:val="00CF4BA6"/>
    <w:rsid w:val="00D024E0"/>
    <w:rsid w:val="00D06C21"/>
    <w:rsid w:val="00D14833"/>
    <w:rsid w:val="00D20005"/>
    <w:rsid w:val="00D227CB"/>
    <w:rsid w:val="00D26AF9"/>
    <w:rsid w:val="00D2761A"/>
    <w:rsid w:val="00D3552F"/>
    <w:rsid w:val="00D448F1"/>
    <w:rsid w:val="00D46951"/>
    <w:rsid w:val="00D47394"/>
    <w:rsid w:val="00D51226"/>
    <w:rsid w:val="00D5171E"/>
    <w:rsid w:val="00D708ED"/>
    <w:rsid w:val="00D8225C"/>
    <w:rsid w:val="00D925E0"/>
    <w:rsid w:val="00DA2A89"/>
    <w:rsid w:val="00DB2006"/>
    <w:rsid w:val="00DB6B2E"/>
    <w:rsid w:val="00DC4F23"/>
    <w:rsid w:val="00DD04B6"/>
    <w:rsid w:val="00DD593A"/>
    <w:rsid w:val="00DE08F4"/>
    <w:rsid w:val="00DF2084"/>
    <w:rsid w:val="00E002B7"/>
    <w:rsid w:val="00E04B87"/>
    <w:rsid w:val="00E07E5F"/>
    <w:rsid w:val="00E33008"/>
    <w:rsid w:val="00E51E29"/>
    <w:rsid w:val="00E574CF"/>
    <w:rsid w:val="00E62E0C"/>
    <w:rsid w:val="00E639D6"/>
    <w:rsid w:val="00E67137"/>
    <w:rsid w:val="00E74D72"/>
    <w:rsid w:val="00E76BEA"/>
    <w:rsid w:val="00E87301"/>
    <w:rsid w:val="00EA2389"/>
    <w:rsid w:val="00EA4C78"/>
    <w:rsid w:val="00EA58A1"/>
    <w:rsid w:val="00EA77C3"/>
    <w:rsid w:val="00EB1A70"/>
    <w:rsid w:val="00EB6523"/>
    <w:rsid w:val="00EB7C64"/>
    <w:rsid w:val="00EC1D9F"/>
    <w:rsid w:val="00EC37F8"/>
    <w:rsid w:val="00EC4DDC"/>
    <w:rsid w:val="00ED0E66"/>
    <w:rsid w:val="00EE353F"/>
    <w:rsid w:val="00EE5220"/>
    <w:rsid w:val="00EE5E08"/>
    <w:rsid w:val="00EF5326"/>
    <w:rsid w:val="00F012D8"/>
    <w:rsid w:val="00F11876"/>
    <w:rsid w:val="00F1518F"/>
    <w:rsid w:val="00F15C87"/>
    <w:rsid w:val="00F21B5E"/>
    <w:rsid w:val="00F21C89"/>
    <w:rsid w:val="00F25221"/>
    <w:rsid w:val="00F31105"/>
    <w:rsid w:val="00F341E9"/>
    <w:rsid w:val="00F35032"/>
    <w:rsid w:val="00F43029"/>
    <w:rsid w:val="00F4728C"/>
    <w:rsid w:val="00F57FA8"/>
    <w:rsid w:val="00F83E86"/>
    <w:rsid w:val="00FA0EFF"/>
    <w:rsid w:val="00FB6ADB"/>
    <w:rsid w:val="00FC2E93"/>
    <w:rsid w:val="00FD1F57"/>
    <w:rsid w:val="00FF078C"/>
    <w:rsid w:val="00FF4B07"/>
    <w:rsid w:val="00FF66EB"/>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2D66DA"/>
  <w15:docId w15:val="{3AAF9DF1-0095-4CAB-903A-58BDD27C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E67137"/>
    <w:pPr>
      <w:spacing w:before="160" w:after="160" w:line="280" w:lineRule="atLeast"/>
    </w:pPr>
    <w:rPr>
      <w:sz w:val="22"/>
    </w:rPr>
  </w:style>
  <w:style w:type="paragraph" w:styleId="Heading1">
    <w:name w:val="heading 1"/>
    <w:basedOn w:val="Normal"/>
    <w:next w:val="Normal"/>
    <w:link w:val="Heading1Char"/>
    <w:uiPriority w:val="99"/>
    <w:qFormat/>
    <w:rsid w:val="009B3DB1"/>
    <w:pPr>
      <w:keepNext/>
      <w:keepLines/>
      <w:numPr>
        <w:numId w:val="2"/>
      </w:numPr>
      <w:spacing w:before="0"/>
      <w:ind w:left="0" w:hanging="720"/>
      <w:outlineLvl w:val="0"/>
    </w:pPr>
    <w:rPr>
      <w:rFonts w:asciiTheme="majorHAnsi" w:eastAsiaTheme="majorEastAsia" w:hAnsiTheme="majorHAnsi" w:cstheme="majorBidi"/>
      <w:b/>
      <w:bCs/>
      <w:caps/>
      <w:color w:val="000000" w:themeColor="text1"/>
      <w:sz w:val="36"/>
      <w:szCs w:val="32"/>
    </w:rPr>
  </w:style>
  <w:style w:type="paragraph" w:styleId="Heading2">
    <w:name w:val="heading 2"/>
    <w:basedOn w:val="Normal"/>
    <w:next w:val="Normal"/>
    <w:link w:val="Heading2Char"/>
    <w:uiPriority w:val="99"/>
    <w:qFormat/>
    <w:rsid w:val="00582EB2"/>
    <w:pPr>
      <w:keepNext/>
      <w:keepLines/>
      <w:numPr>
        <w:ilvl w:val="1"/>
        <w:numId w:val="2"/>
      </w:numPr>
      <w:spacing w:before="320"/>
      <w:ind w:left="0" w:hanging="72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9"/>
    <w:qFormat/>
    <w:rsid w:val="00E574CF"/>
    <w:pPr>
      <w:keepNext/>
      <w:keepLines/>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nhideWhenUsed/>
    <w:qFormat/>
    <w:rsid w:val="007A494E"/>
    <w:pPr>
      <w:keepNext/>
      <w:keepLines/>
      <w:spacing w:before="40" w:after="0" w:line="276" w:lineRule="auto"/>
      <w:ind w:left="567"/>
      <w:outlineLvl w:val="3"/>
    </w:pPr>
    <w:rPr>
      <w:rFonts w:eastAsiaTheme="majorEastAsia" w:cstheme="majorBidi"/>
      <w:b/>
      <w:iCs/>
      <w:color w:val="00467B" w:themeColor="accent1" w:themeShade="BF"/>
      <w:sz w:val="28"/>
      <w:szCs w:val="22"/>
      <w:lang w:val="en-CA" w:eastAsia="ja-JP"/>
    </w:rPr>
  </w:style>
  <w:style w:type="paragraph" w:styleId="Heading9">
    <w:name w:val="heading 9"/>
    <w:basedOn w:val="Normal"/>
    <w:next w:val="Normal"/>
    <w:link w:val="Heading9Char"/>
    <w:uiPriority w:val="99"/>
    <w:qFormat/>
    <w:rsid w:val="007A494E"/>
    <w:pPr>
      <w:keepNext/>
      <w:keepLines/>
      <w:spacing w:before="200" w:after="0" w:line="276" w:lineRule="auto"/>
      <w:ind w:left="567"/>
      <w:outlineLvl w:val="8"/>
    </w:pPr>
    <w:rPr>
      <w:rFonts w:ascii="Cambria" w:eastAsia="MS Gothic" w:hAnsi="Cambria" w:cs="Times New Roman"/>
      <w:i/>
      <w:iCs/>
      <w:color w:val="404040"/>
      <w:sz w:val="20"/>
      <w:szCs w:val="20"/>
      <w:lang w:val="en-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4F4"/>
    <w:pPr>
      <w:tabs>
        <w:tab w:val="center" w:pos="4320"/>
        <w:tab w:val="right" w:pos="8640"/>
      </w:tabs>
      <w:spacing w:after="0"/>
    </w:pPr>
  </w:style>
  <w:style w:type="character" w:customStyle="1" w:styleId="HeaderChar">
    <w:name w:val="Header Char"/>
    <w:basedOn w:val="DefaultParagraphFont"/>
    <w:link w:val="Header"/>
    <w:uiPriority w:val="99"/>
    <w:rsid w:val="008704F4"/>
  </w:style>
  <w:style w:type="paragraph" w:styleId="Footer">
    <w:name w:val="footer"/>
    <w:basedOn w:val="Normal"/>
    <w:link w:val="FooterChar"/>
    <w:uiPriority w:val="99"/>
    <w:unhideWhenUsed/>
    <w:rsid w:val="00395B7E"/>
    <w:pPr>
      <w:pBdr>
        <w:top w:val="single" w:sz="4" w:space="3" w:color="B2B2B2" w:themeColor="background2" w:themeShade="BF"/>
      </w:pBdr>
      <w:tabs>
        <w:tab w:val="right" w:pos="9360"/>
      </w:tabs>
      <w:spacing w:after="0"/>
    </w:pPr>
    <w:rPr>
      <w:sz w:val="20"/>
    </w:rPr>
  </w:style>
  <w:style w:type="character" w:customStyle="1" w:styleId="FooterChar">
    <w:name w:val="Footer Char"/>
    <w:basedOn w:val="DefaultParagraphFont"/>
    <w:link w:val="Footer"/>
    <w:uiPriority w:val="99"/>
    <w:rsid w:val="00395B7E"/>
    <w:rPr>
      <w:sz w:val="20"/>
    </w:rPr>
  </w:style>
  <w:style w:type="table" w:styleId="TableGrid">
    <w:name w:val="Table Grid"/>
    <w:basedOn w:val="TableNormal"/>
    <w:uiPriority w:val="99"/>
    <w:rsid w:val="00A0451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qFormat/>
    <w:rsid w:val="00A04513"/>
    <w:pPr>
      <w:numPr>
        <w:ilvl w:val="1"/>
      </w:numPr>
    </w:pPr>
    <w:rPr>
      <w:rFonts w:asciiTheme="majorHAnsi" w:eastAsiaTheme="majorEastAsia" w:hAnsiTheme="majorHAnsi" w:cstheme="majorBidi"/>
      <w:b/>
      <w:iCs/>
      <w:color w:val="000000" w:themeColor="text1"/>
      <w:sz w:val="28"/>
    </w:rPr>
  </w:style>
  <w:style w:type="character" w:customStyle="1" w:styleId="SubtitleChar">
    <w:name w:val="Subtitle Char"/>
    <w:basedOn w:val="DefaultParagraphFont"/>
    <w:link w:val="Subtitle"/>
    <w:rsid w:val="00A04513"/>
    <w:rPr>
      <w:rFonts w:asciiTheme="majorHAnsi" w:eastAsiaTheme="majorEastAsia" w:hAnsiTheme="majorHAnsi" w:cstheme="majorBidi"/>
      <w:b/>
      <w:iCs/>
      <w:color w:val="000000" w:themeColor="text1"/>
      <w:sz w:val="28"/>
    </w:rPr>
  </w:style>
  <w:style w:type="paragraph" w:styleId="Title">
    <w:name w:val="Title"/>
    <w:basedOn w:val="Normal"/>
    <w:next w:val="Normal"/>
    <w:link w:val="TitleChar"/>
    <w:uiPriority w:val="99"/>
    <w:qFormat/>
    <w:rsid w:val="00380AB9"/>
    <w:pPr>
      <w:spacing w:before="300" w:after="300"/>
      <w:contextualSpacing/>
    </w:pPr>
    <w:rPr>
      <w:rFonts w:asciiTheme="majorHAnsi" w:eastAsiaTheme="majorEastAsia" w:hAnsiTheme="majorHAnsi" w:cstheme="majorBidi"/>
      <w:color w:val="000000" w:themeColor="text2" w:themeShade="CC"/>
      <w:kern w:val="28"/>
      <w:sz w:val="56"/>
      <w:szCs w:val="52"/>
    </w:rPr>
  </w:style>
  <w:style w:type="character" w:customStyle="1" w:styleId="TitleChar">
    <w:name w:val="Title Char"/>
    <w:basedOn w:val="DefaultParagraphFont"/>
    <w:link w:val="Title"/>
    <w:uiPriority w:val="99"/>
    <w:rsid w:val="00380AB9"/>
    <w:rPr>
      <w:rFonts w:asciiTheme="majorHAnsi" w:eastAsiaTheme="majorEastAsia" w:hAnsiTheme="majorHAnsi" w:cstheme="majorBidi"/>
      <w:color w:val="000000" w:themeColor="text2" w:themeShade="CC"/>
      <w:kern w:val="28"/>
      <w:sz w:val="56"/>
      <w:szCs w:val="52"/>
    </w:rPr>
  </w:style>
  <w:style w:type="character" w:customStyle="1" w:styleId="Heading1Char">
    <w:name w:val="Heading 1 Char"/>
    <w:basedOn w:val="DefaultParagraphFont"/>
    <w:link w:val="Heading1"/>
    <w:uiPriority w:val="99"/>
    <w:rsid w:val="009B3DB1"/>
    <w:rPr>
      <w:rFonts w:asciiTheme="majorHAnsi" w:eastAsiaTheme="majorEastAsia" w:hAnsiTheme="majorHAnsi" w:cstheme="majorBidi"/>
      <w:b/>
      <w:bCs/>
      <w:caps/>
      <w:color w:val="000000" w:themeColor="text1"/>
      <w:sz w:val="36"/>
      <w:szCs w:val="32"/>
    </w:rPr>
  </w:style>
  <w:style w:type="character" w:customStyle="1" w:styleId="Heading2Char">
    <w:name w:val="Heading 2 Char"/>
    <w:basedOn w:val="DefaultParagraphFont"/>
    <w:link w:val="Heading2"/>
    <w:uiPriority w:val="99"/>
    <w:rsid w:val="00E67137"/>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9"/>
    <w:rsid w:val="00E67137"/>
    <w:rPr>
      <w:rFonts w:asciiTheme="majorHAnsi" w:eastAsiaTheme="majorEastAsia" w:hAnsiTheme="majorHAnsi" w:cstheme="majorBidi"/>
      <w:b/>
      <w:bCs/>
      <w:color w:val="000000" w:themeColor="text1"/>
    </w:rPr>
  </w:style>
  <w:style w:type="paragraph" w:customStyle="1" w:styleId="18ptheading">
    <w:name w:val="18 pt heading"/>
    <w:basedOn w:val="Normal"/>
    <w:uiPriority w:val="99"/>
    <w:qFormat/>
    <w:rsid w:val="00395B7E"/>
    <w:rPr>
      <w:b/>
      <w:caps/>
      <w:sz w:val="36"/>
    </w:rPr>
  </w:style>
  <w:style w:type="paragraph" w:customStyle="1" w:styleId="14ptCAPS">
    <w:name w:val="14 pt CAPS"/>
    <w:basedOn w:val="18ptheading"/>
    <w:uiPriority w:val="1"/>
    <w:qFormat/>
    <w:rsid w:val="00400B93"/>
    <w:pPr>
      <w:keepNext/>
      <w:spacing w:before="320"/>
    </w:pPr>
    <w:rPr>
      <w:sz w:val="28"/>
    </w:rPr>
  </w:style>
  <w:style w:type="character" w:styleId="Hyperlink">
    <w:name w:val="Hyperlink"/>
    <w:basedOn w:val="DefaultParagraphFont"/>
    <w:uiPriority w:val="99"/>
    <w:rsid w:val="009B2DBE"/>
    <w:rPr>
      <w:color w:val="0000CF" w:themeColor="hyperlink"/>
      <w:u w:val="single"/>
    </w:rPr>
  </w:style>
  <w:style w:type="paragraph" w:styleId="ListParagraph">
    <w:name w:val="List Paragraph"/>
    <w:basedOn w:val="Normal"/>
    <w:uiPriority w:val="34"/>
    <w:qFormat/>
    <w:rsid w:val="002C64E6"/>
    <w:pPr>
      <w:numPr>
        <w:numId w:val="1"/>
      </w:numPr>
      <w:contextualSpacing/>
    </w:pPr>
  </w:style>
  <w:style w:type="paragraph" w:customStyle="1" w:styleId="14ptheading">
    <w:name w:val="14 pt heading"/>
    <w:uiPriority w:val="1"/>
    <w:qFormat/>
    <w:rsid w:val="0081061E"/>
    <w:pPr>
      <w:keepNext/>
      <w:spacing w:before="320" w:after="160"/>
    </w:pPr>
    <w:rPr>
      <w:rFonts w:asciiTheme="majorHAnsi" w:eastAsiaTheme="majorEastAsia" w:hAnsiTheme="majorHAnsi" w:cstheme="majorBidi"/>
      <w:b/>
      <w:bCs/>
      <w:color w:val="000000" w:themeColor="text1"/>
      <w:sz w:val="28"/>
      <w:szCs w:val="26"/>
    </w:rPr>
  </w:style>
  <w:style w:type="paragraph" w:styleId="TOC1">
    <w:name w:val="toc 1"/>
    <w:basedOn w:val="Normal"/>
    <w:next w:val="Normal"/>
    <w:uiPriority w:val="39"/>
    <w:rsid w:val="00B51633"/>
    <w:pPr>
      <w:keepNext/>
      <w:tabs>
        <w:tab w:val="left" w:pos="518"/>
        <w:tab w:val="left" w:pos="720"/>
        <w:tab w:val="right" w:leader="dot" w:pos="9350"/>
      </w:tabs>
      <w:spacing w:before="320"/>
      <w:ind w:left="720" w:hanging="720"/>
    </w:pPr>
    <w:rPr>
      <w:caps/>
      <w:noProof/>
      <w:sz w:val="24"/>
    </w:rPr>
  </w:style>
  <w:style w:type="paragraph" w:styleId="TOC2">
    <w:name w:val="toc 2"/>
    <w:basedOn w:val="Normal"/>
    <w:next w:val="Normal"/>
    <w:uiPriority w:val="39"/>
    <w:rsid w:val="00EB7C64"/>
    <w:pPr>
      <w:tabs>
        <w:tab w:val="left" w:pos="515"/>
        <w:tab w:val="left" w:pos="735"/>
        <w:tab w:val="right" w:leader="dot" w:pos="9350"/>
      </w:tabs>
      <w:spacing w:before="120" w:after="120"/>
      <w:ind w:left="720" w:hanging="720"/>
    </w:pPr>
    <w:rPr>
      <w:noProof/>
    </w:rPr>
  </w:style>
  <w:style w:type="paragraph" w:styleId="TOC3">
    <w:name w:val="toc 3"/>
    <w:basedOn w:val="Normal"/>
    <w:next w:val="Normal"/>
    <w:autoRedefine/>
    <w:uiPriority w:val="39"/>
    <w:rsid w:val="000B5207"/>
    <w:pPr>
      <w:ind w:left="440"/>
    </w:pPr>
  </w:style>
  <w:style w:type="paragraph" w:styleId="TOC4">
    <w:name w:val="toc 4"/>
    <w:basedOn w:val="Normal"/>
    <w:next w:val="Normal"/>
    <w:autoRedefine/>
    <w:uiPriority w:val="39"/>
    <w:rsid w:val="000B5207"/>
    <w:pPr>
      <w:ind w:left="660"/>
    </w:pPr>
  </w:style>
  <w:style w:type="paragraph" w:styleId="TOC5">
    <w:name w:val="toc 5"/>
    <w:basedOn w:val="Normal"/>
    <w:next w:val="Normal"/>
    <w:autoRedefine/>
    <w:uiPriority w:val="39"/>
    <w:rsid w:val="000B5207"/>
    <w:pPr>
      <w:ind w:left="880"/>
    </w:pPr>
  </w:style>
  <w:style w:type="paragraph" w:styleId="TOC6">
    <w:name w:val="toc 6"/>
    <w:basedOn w:val="Normal"/>
    <w:next w:val="Normal"/>
    <w:autoRedefine/>
    <w:uiPriority w:val="39"/>
    <w:rsid w:val="000B5207"/>
    <w:pPr>
      <w:ind w:left="1100"/>
    </w:pPr>
  </w:style>
  <w:style w:type="paragraph" w:styleId="TOC7">
    <w:name w:val="toc 7"/>
    <w:basedOn w:val="Normal"/>
    <w:next w:val="Normal"/>
    <w:autoRedefine/>
    <w:uiPriority w:val="39"/>
    <w:rsid w:val="000B5207"/>
    <w:pPr>
      <w:ind w:left="1320"/>
    </w:pPr>
  </w:style>
  <w:style w:type="paragraph" w:styleId="TOC8">
    <w:name w:val="toc 8"/>
    <w:basedOn w:val="Normal"/>
    <w:next w:val="Normal"/>
    <w:autoRedefine/>
    <w:uiPriority w:val="39"/>
    <w:rsid w:val="000B5207"/>
    <w:pPr>
      <w:ind w:left="1540"/>
    </w:pPr>
  </w:style>
  <w:style w:type="paragraph" w:styleId="TOC9">
    <w:name w:val="toc 9"/>
    <w:basedOn w:val="Normal"/>
    <w:next w:val="Normal"/>
    <w:autoRedefine/>
    <w:uiPriority w:val="39"/>
    <w:rsid w:val="000B5207"/>
    <w:pPr>
      <w:ind w:left="1760"/>
    </w:pPr>
  </w:style>
  <w:style w:type="paragraph" w:customStyle="1" w:styleId="subbullet">
    <w:name w:val="sub bullet"/>
    <w:qFormat/>
    <w:rsid w:val="0081061E"/>
    <w:pPr>
      <w:numPr>
        <w:numId w:val="3"/>
      </w:numPr>
      <w:spacing w:after="160" w:line="280" w:lineRule="atLeast"/>
      <w:ind w:hanging="360"/>
      <w:contextualSpacing/>
    </w:pPr>
    <w:rPr>
      <w:sz w:val="22"/>
    </w:rPr>
  </w:style>
  <w:style w:type="paragraph" w:customStyle="1" w:styleId="Bulletheading">
    <w:name w:val="Bullet heading"/>
    <w:basedOn w:val="Normal"/>
    <w:qFormat/>
    <w:rsid w:val="00145DFC"/>
    <w:pPr>
      <w:keepNext/>
    </w:pPr>
    <w:rPr>
      <w:b/>
    </w:rPr>
  </w:style>
  <w:style w:type="paragraph" w:customStyle="1" w:styleId="small">
    <w:name w:val="small"/>
    <w:basedOn w:val="Normal"/>
    <w:rsid w:val="0080453B"/>
    <w:pPr>
      <w:spacing w:before="0" w:after="0" w:line="240" w:lineRule="auto"/>
    </w:pPr>
  </w:style>
  <w:style w:type="character" w:customStyle="1" w:styleId="Heading4Char">
    <w:name w:val="Heading 4 Char"/>
    <w:basedOn w:val="DefaultParagraphFont"/>
    <w:link w:val="Heading4"/>
    <w:rsid w:val="007A494E"/>
    <w:rPr>
      <w:rFonts w:eastAsiaTheme="majorEastAsia" w:cstheme="majorBidi"/>
      <w:b/>
      <w:iCs/>
      <w:color w:val="00467B" w:themeColor="accent1" w:themeShade="BF"/>
      <w:sz w:val="28"/>
      <w:szCs w:val="22"/>
      <w:lang w:val="en-CA" w:eastAsia="ja-JP"/>
    </w:rPr>
  </w:style>
  <w:style w:type="character" w:customStyle="1" w:styleId="Heading9Char">
    <w:name w:val="Heading 9 Char"/>
    <w:basedOn w:val="DefaultParagraphFont"/>
    <w:link w:val="Heading9"/>
    <w:uiPriority w:val="99"/>
    <w:rsid w:val="007A494E"/>
    <w:rPr>
      <w:rFonts w:ascii="Cambria" w:eastAsia="MS Gothic" w:hAnsi="Cambria" w:cs="Times New Roman"/>
      <w:i/>
      <w:iCs/>
      <w:color w:val="404040"/>
      <w:sz w:val="20"/>
      <w:szCs w:val="20"/>
      <w:lang w:val="en-CA" w:eastAsia="ja-JP"/>
    </w:rPr>
  </w:style>
  <w:style w:type="paragraph" w:customStyle="1" w:styleId="Heading11">
    <w:name w:val="Heading 11"/>
    <w:next w:val="Normal"/>
    <w:uiPriority w:val="99"/>
    <w:rsid w:val="007A494E"/>
    <w:pPr>
      <w:keepNext/>
      <w:suppressAutoHyphens/>
      <w:spacing w:before="180" w:line="312" w:lineRule="auto"/>
      <w:outlineLvl w:val="0"/>
    </w:pPr>
    <w:rPr>
      <w:rFonts w:ascii="Helvetica Neue" w:eastAsia="MS Mincho" w:hAnsi="Helvetica Neue" w:cs="Times New Roman"/>
      <w:b/>
      <w:color w:val="2B6991"/>
      <w:sz w:val="26"/>
      <w:szCs w:val="22"/>
      <w:lang w:eastAsia="ja-JP"/>
    </w:rPr>
  </w:style>
  <w:style w:type="paragraph" w:customStyle="1" w:styleId="Heading21">
    <w:name w:val="Heading 21"/>
    <w:next w:val="Normal"/>
    <w:uiPriority w:val="99"/>
    <w:rsid w:val="007A494E"/>
    <w:pPr>
      <w:keepNext/>
      <w:suppressAutoHyphens/>
      <w:spacing w:before="180" w:line="312" w:lineRule="auto"/>
      <w:outlineLvl w:val="1"/>
    </w:pPr>
    <w:rPr>
      <w:rFonts w:ascii="Helvetica Neue" w:eastAsia="MS Mincho" w:hAnsi="Helvetica Neue" w:cs="Times New Roman"/>
      <w:b/>
      <w:color w:val="2B6991"/>
      <w:sz w:val="22"/>
      <w:szCs w:val="22"/>
      <w:lang w:eastAsia="ja-JP"/>
    </w:rPr>
  </w:style>
  <w:style w:type="paragraph" w:customStyle="1" w:styleId="Heading41">
    <w:name w:val="Heading 41"/>
    <w:next w:val="Normal"/>
    <w:uiPriority w:val="99"/>
    <w:rsid w:val="007A494E"/>
    <w:pPr>
      <w:keepNext/>
      <w:suppressAutoHyphens/>
      <w:spacing w:after="180" w:line="312" w:lineRule="auto"/>
      <w:outlineLvl w:val="3"/>
    </w:pPr>
    <w:rPr>
      <w:rFonts w:ascii="Helvetica Neue" w:eastAsia="MS Mincho" w:hAnsi="Helvetica Neue" w:cs="Times New Roman"/>
      <w:b/>
      <w:color w:val="000000"/>
      <w:sz w:val="18"/>
      <w:szCs w:val="22"/>
      <w:lang w:eastAsia="ja-JP"/>
    </w:rPr>
  </w:style>
  <w:style w:type="paragraph" w:customStyle="1" w:styleId="Style1">
    <w:name w:val="Style1"/>
    <w:link w:val="Style1Char"/>
    <w:uiPriority w:val="99"/>
    <w:rsid w:val="007A494E"/>
    <w:pPr>
      <w:spacing w:line="276" w:lineRule="auto"/>
    </w:pPr>
    <w:rPr>
      <w:rFonts w:ascii="Helvetica Neue" w:eastAsia="Times New Roman" w:hAnsi="Helvetica Neue" w:cs="Times New Roman"/>
      <w:b/>
      <w:color w:val="2B6991"/>
      <w:sz w:val="22"/>
      <w:szCs w:val="22"/>
      <w:lang w:eastAsia="ja-JP"/>
    </w:rPr>
  </w:style>
  <w:style w:type="character" w:customStyle="1" w:styleId="Style1Char">
    <w:name w:val="Style1 Char"/>
    <w:link w:val="Style1"/>
    <w:uiPriority w:val="99"/>
    <w:locked/>
    <w:rsid w:val="007A494E"/>
    <w:rPr>
      <w:rFonts w:ascii="Helvetica Neue" w:eastAsia="Times New Roman" w:hAnsi="Helvetica Neue" w:cs="Times New Roman"/>
      <w:b/>
      <w:color w:val="2B6991"/>
      <w:sz w:val="22"/>
      <w:szCs w:val="22"/>
      <w:lang w:eastAsia="ja-JP"/>
    </w:rPr>
  </w:style>
  <w:style w:type="paragraph" w:styleId="NoSpacing">
    <w:name w:val="No Spacing"/>
    <w:link w:val="NoSpacingChar"/>
    <w:uiPriority w:val="99"/>
    <w:qFormat/>
    <w:rsid w:val="007A494E"/>
    <w:pPr>
      <w:spacing w:after="0"/>
    </w:pPr>
    <w:rPr>
      <w:rFonts w:ascii="Calibri" w:eastAsia="MS Mincho" w:hAnsi="Calibri" w:cs="Times New Roman"/>
      <w:sz w:val="22"/>
      <w:szCs w:val="22"/>
      <w:lang w:val="en-CA" w:eastAsia="ja-JP"/>
    </w:rPr>
  </w:style>
  <w:style w:type="character" w:styleId="IntenseEmphasis">
    <w:name w:val="Intense Emphasis"/>
    <w:uiPriority w:val="99"/>
    <w:qFormat/>
    <w:rsid w:val="007A494E"/>
    <w:rPr>
      <w:rFonts w:cs="Times New Roman"/>
      <w:b/>
      <w:bCs/>
      <w:i/>
      <w:iCs/>
      <w:color w:val="4F81BD"/>
    </w:rPr>
  </w:style>
  <w:style w:type="character" w:customStyle="1" w:styleId="NoSpacingChar">
    <w:name w:val="No Spacing Char"/>
    <w:link w:val="NoSpacing"/>
    <w:uiPriority w:val="99"/>
    <w:locked/>
    <w:rsid w:val="007A494E"/>
    <w:rPr>
      <w:rFonts w:ascii="Calibri" w:eastAsia="MS Mincho" w:hAnsi="Calibri" w:cs="Times New Roman"/>
      <w:sz w:val="22"/>
      <w:szCs w:val="22"/>
      <w:lang w:val="en-CA" w:eastAsia="ja-JP"/>
    </w:rPr>
  </w:style>
  <w:style w:type="paragraph" w:styleId="BalloonText">
    <w:name w:val="Balloon Text"/>
    <w:basedOn w:val="Normal"/>
    <w:link w:val="BalloonTextChar"/>
    <w:uiPriority w:val="99"/>
    <w:rsid w:val="007A494E"/>
    <w:pPr>
      <w:spacing w:before="0" w:after="0" w:line="240" w:lineRule="auto"/>
      <w:ind w:left="567"/>
    </w:pPr>
    <w:rPr>
      <w:rFonts w:ascii="Tahoma" w:eastAsia="MS Mincho" w:hAnsi="Tahoma" w:cs="Times New Roman"/>
      <w:sz w:val="16"/>
      <w:szCs w:val="16"/>
      <w:lang w:val="en-CA" w:eastAsia="ja-JP"/>
    </w:rPr>
  </w:style>
  <w:style w:type="character" w:customStyle="1" w:styleId="BalloonTextChar">
    <w:name w:val="Balloon Text Char"/>
    <w:basedOn w:val="DefaultParagraphFont"/>
    <w:link w:val="BalloonText"/>
    <w:uiPriority w:val="99"/>
    <w:rsid w:val="007A494E"/>
    <w:rPr>
      <w:rFonts w:ascii="Tahoma" w:eastAsia="MS Mincho" w:hAnsi="Tahoma" w:cs="Times New Roman"/>
      <w:sz w:val="16"/>
      <w:szCs w:val="16"/>
      <w:lang w:val="en-CA" w:eastAsia="ja-JP"/>
    </w:rPr>
  </w:style>
  <w:style w:type="character" w:styleId="PlaceholderText">
    <w:name w:val="Placeholder Text"/>
    <w:uiPriority w:val="99"/>
    <w:rsid w:val="007A494E"/>
    <w:rPr>
      <w:rFonts w:cs="Times New Roman"/>
      <w:color w:val="808080"/>
    </w:rPr>
  </w:style>
  <w:style w:type="character" w:styleId="FollowedHyperlink">
    <w:name w:val="FollowedHyperlink"/>
    <w:uiPriority w:val="99"/>
    <w:rsid w:val="007A494E"/>
    <w:rPr>
      <w:rFonts w:cs="Times New Roman"/>
      <w:color w:val="800080"/>
      <w:u w:val="single"/>
    </w:rPr>
  </w:style>
  <w:style w:type="paragraph" w:customStyle="1" w:styleId="xl65">
    <w:name w:val="xl65"/>
    <w:basedOn w:val="Normal"/>
    <w:uiPriority w:val="99"/>
    <w:rsid w:val="007A494E"/>
    <w:pPr>
      <w:shd w:val="clear" w:color="000000" w:fill="D9D9D9"/>
      <w:spacing w:before="100" w:beforeAutospacing="1" w:after="100" w:afterAutospacing="1" w:line="240" w:lineRule="auto"/>
      <w:ind w:left="567"/>
    </w:pPr>
    <w:rPr>
      <w:rFonts w:ascii="Times New Roman" w:eastAsia="MS Mincho" w:hAnsi="Times New Roman" w:cs="Times New Roman"/>
      <w:sz w:val="24"/>
    </w:rPr>
  </w:style>
  <w:style w:type="paragraph" w:styleId="NormalWeb">
    <w:name w:val="Normal (Web)"/>
    <w:basedOn w:val="Normal"/>
    <w:uiPriority w:val="99"/>
    <w:rsid w:val="007A494E"/>
    <w:pPr>
      <w:spacing w:before="100" w:beforeAutospacing="1" w:after="100" w:afterAutospacing="1" w:line="240" w:lineRule="auto"/>
      <w:ind w:left="567"/>
    </w:pPr>
    <w:rPr>
      <w:rFonts w:ascii="Times New Roman" w:eastAsia="MS Mincho" w:hAnsi="Times New Roman" w:cs="Times New Roman"/>
      <w:sz w:val="24"/>
    </w:rPr>
  </w:style>
  <w:style w:type="character" w:styleId="CommentReference">
    <w:name w:val="annotation reference"/>
    <w:rsid w:val="007A494E"/>
    <w:rPr>
      <w:rFonts w:cs="Times New Roman"/>
      <w:sz w:val="16"/>
      <w:szCs w:val="16"/>
    </w:rPr>
  </w:style>
  <w:style w:type="paragraph" w:styleId="CommentText">
    <w:name w:val="annotation text"/>
    <w:basedOn w:val="Normal"/>
    <w:link w:val="CommentTextChar"/>
    <w:rsid w:val="007A494E"/>
    <w:pPr>
      <w:autoSpaceDE w:val="0"/>
      <w:autoSpaceDN w:val="0"/>
      <w:adjustRightInd w:val="0"/>
      <w:spacing w:before="0" w:after="0" w:line="240" w:lineRule="auto"/>
      <w:ind w:left="567"/>
    </w:pPr>
    <w:rPr>
      <w:rFonts w:ascii="Times New Roman" w:eastAsia="MS Mincho" w:hAnsi="Times New Roman" w:cs="Times New Roman"/>
      <w:sz w:val="20"/>
      <w:szCs w:val="20"/>
      <w:lang w:val="en-CA"/>
    </w:rPr>
  </w:style>
  <w:style w:type="character" w:customStyle="1" w:styleId="CommentTextChar">
    <w:name w:val="Comment Text Char"/>
    <w:basedOn w:val="DefaultParagraphFont"/>
    <w:link w:val="CommentText"/>
    <w:rsid w:val="007A494E"/>
    <w:rPr>
      <w:rFonts w:ascii="Times New Roman" w:eastAsia="MS Mincho" w:hAnsi="Times New Roman" w:cs="Times New Roman"/>
      <w:sz w:val="20"/>
      <w:szCs w:val="20"/>
      <w:lang w:val="en-CA"/>
    </w:rPr>
  </w:style>
  <w:style w:type="numbering" w:customStyle="1" w:styleId="Style2">
    <w:name w:val="Style2"/>
    <w:rsid w:val="007A494E"/>
    <w:pPr>
      <w:numPr>
        <w:numId w:val="4"/>
      </w:numPr>
    </w:pPr>
  </w:style>
  <w:style w:type="paragraph" w:styleId="CommentSubject">
    <w:name w:val="annotation subject"/>
    <w:basedOn w:val="CommentText"/>
    <w:next w:val="CommentText"/>
    <w:link w:val="CommentSubjectChar"/>
    <w:uiPriority w:val="99"/>
    <w:unhideWhenUsed/>
    <w:rsid w:val="007A494E"/>
    <w:pPr>
      <w:autoSpaceDE/>
      <w:autoSpaceDN/>
      <w:adjustRightInd/>
      <w:spacing w:after="200" w:line="276" w:lineRule="auto"/>
    </w:pPr>
    <w:rPr>
      <w:rFonts w:ascii="Calibri" w:hAnsi="Calibri"/>
      <w:b/>
      <w:bCs/>
      <w:lang w:eastAsia="ja-JP"/>
    </w:rPr>
  </w:style>
  <w:style w:type="character" w:customStyle="1" w:styleId="CommentSubjectChar">
    <w:name w:val="Comment Subject Char"/>
    <w:basedOn w:val="CommentTextChar"/>
    <w:link w:val="CommentSubject"/>
    <w:uiPriority w:val="99"/>
    <w:rsid w:val="007A494E"/>
    <w:rPr>
      <w:rFonts w:ascii="Calibri" w:eastAsia="MS Mincho" w:hAnsi="Calibri" w:cs="Times New Roman"/>
      <w:b/>
      <w:bCs/>
      <w:sz w:val="20"/>
      <w:szCs w:val="20"/>
      <w:lang w:val="en-CA" w:eastAsia="ja-JP"/>
    </w:rPr>
  </w:style>
  <w:style w:type="paragraph" w:styleId="TOCHeading">
    <w:name w:val="TOC Heading"/>
    <w:basedOn w:val="Heading1"/>
    <w:next w:val="Normal"/>
    <w:uiPriority w:val="39"/>
    <w:unhideWhenUsed/>
    <w:qFormat/>
    <w:rsid w:val="007A494E"/>
    <w:pPr>
      <w:numPr>
        <w:numId w:val="0"/>
      </w:numPr>
      <w:spacing w:before="240" w:after="360" w:line="259" w:lineRule="auto"/>
      <w:jc w:val="both"/>
      <w:outlineLvl w:val="9"/>
    </w:pPr>
    <w:rPr>
      <w:b w:val="0"/>
      <w:bCs w:val="0"/>
      <w:caps w:val="0"/>
      <w:color w:val="00467B" w:themeColor="accent1" w:themeShade="BF"/>
      <w:sz w:val="32"/>
    </w:rPr>
  </w:style>
  <w:style w:type="paragraph" w:styleId="Revision">
    <w:name w:val="Revision"/>
    <w:hidden/>
    <w:uiPriority w:val="99"/>
    <w:rsid w:val="007A494E"/>
    <w:pPr>
      <w:spacing w:after="0"/>
    </w:pPr>
    <w:rPr>
      <w:rFonts w:ascii="Calibri" w:eastAsia="MS Mincho" w:hAnsi="Calibri" w:cs="Times New Roman"/>
      <w:sz w:val="22"/>
      <w:szCs w:val="22"/>
      <w:lang w:val="en-CA" w:eastAsia="ja-JP"/>
    </w:rPr>
  </w:style>
  <w:style w:type="paragraph" w:customStyle="1" w:styleId="ADMINISTRATIVEPROCEDURES">
    <w:name w:val="ADMINISTRATIVE PROCEDURES"/>
    <w:basedOn w:val="Normal"/>
    <w:qFormat/>
    <w:rsid w:val="007A494E"/>
    <w:pPr>
      <w:spacing w:before="120" w:after="120" w:line="276" w:lineRule="auto"/>
      <w:ind w:left="540" w:hanging="187"/>
      <w:jc w:val="both"/>
    </w:pPr>
    <w:rPr>
      <w:rFonts w:ascii="Arial" w:eastAsia="MS Mincho" w:hAnsi="Arial" w:cs="Times New Roman"/>
      <w:b/>
      <w:sz w:val="28"/>
      <w:szCs w:val="28"/>
      <w:lang w:eastAsia="ja-JP"/>
    </w:rPr>
  </w:style>
  <w:style w:type="paragraph" w:customStyle="1" w:styleId="NormalNoir">
    <w:name w:val="Normal Noir"/>
    <w:basedOn w:val="NormalWeb"/>
    <w:qFormat/>
    <w:rsid w:val="007A494E"/>
    <w:pPr>
      <w:numPr>
        <w:numId w:val="7"/>
      </w:numPr>
    </w:pPr>
    <w:rPr>
      <w:rFonts w:ascii="Arial" w:hAnsi="Arial" w:cs="Arial"/>
      <w:b/>
      <w:sz w:val="22"/>
      <w:szCs w:val="22"/>
    </w:rPr>
  </w:style>
  <w:style w:type="paragraph" w:customStyle="1" w:styleId="NormalSub">
    <w:name w:val="Normal Sub"/>
    <w:basedOn w:val="Normal"/>
    <w:qFormat/>
    <w:rsid w:val="007A494E"/>
    <w:pPr>
      <w:numPr>
        <w:numId w:val="5"/>
      </w:numPr>
      <w:spacing w:before="240" w:after="240" w:line="276" w:lineRule="auto"/>
    </w:pPr>
    <w:rPr>
      <w:rFonts w:ascii="Arial" w:eastAsia="MS Mincho" w:hAnsi="Arial" w:cs="Arial"/>
      <w:b/>
      <w:sz w:val="28"/>
      <w:szCs w:val="22"/>
      <w:lang w:val="en-CA" w:eastAsia="ja-JP"/>
    </w:rPr>
  </w:style>
  <w:style w:type="paragraph" w:customStyle="1" w:styleId="POLICY">
    <w:name w:val="POLICY"/>
    <w:basedOn w:val="Normal"/>
    <w:qFormat/>
    <w:rsid w:val="007A494E"/>
    <w:pPr>
      <w:spacing w:before="120" w:after="120" w:line="276" w:lineRule="auto"/>
      <w:ind w:left="540" w:hanging="187"/>
      <w:jc w:val="both"/>
    </w:pPr>
    <w:rPr>
      <w:rFonts w:ascii="Arial" w:eastAsia="MS Mincho" w:hAnsi="Arial" w:cs="Times New Roman"/>
      <w:b/>
      <w:sz w:val="28"/>
      <w:szCs w:val="28"/>
      <w:lang w:val="en-CA" w:eastAsia="ja-JP"/>
    </w:rPr>
  </w:style>
  <w:style w:type="paragraph" w:customStyle="1" w:styleId="PolicyStatement">
    <w:name w:val="Policy Statement"/>
    <w:basedOn w:val="Normal"/>
    <w:qFormat/>
    <w:rsid w:val="007A494E"/>
    <w:pPr>
      <w:spacing w:before="120" w:after="120" w:line="276" w:lineRule="auto"/>
      <w:ind w:left="1710"/>
      <w:jc w:val="both"/>
    </w:pPr>
    <w:rPr>
      <w:rFonts w:ascii="Arial" w:eastAsia="MS Mincho" w:hAnsi="Arial" w:cs="Arial"/>
      <w:szCs w:val="22"/>
      <w:lang w:val="en-CA" w:eastAsia="ja-JP"/>
    </w:rPr>
  </w:style>
  <w:style w:type="paragraph" w:customStyle="1" w:styleId="Purpose">
    <w:name w:val="Purpose"/>
    <w:basedOn w:val="Normal"/>
    <w:qFormat/>
    <w:rsid w:val="007A494E"/>
    <w:pPr>
      <w:spacing w:before="120" w:after="120" w:line="276" w:lineRule="auto"/>
      <w:ind w:left="1710"/>
      <w:jc w:val="both"/>
    </w:pPr>
    <w:rPr>
      <w:rFonts w:ascii="Arial" w:eastAsia="MS Mincho" w:hAnsi="Arial" w:cs="Arial"/>
      <w:bCs/>
      <w:szCs w:val="22"/>
      <w:lang w:val="en-CA" w:eastAsia="ja-JP"/>
    </w:rPr>
  </w:style>
  <w:style w:type="numbering" w:customStyle="1" w:styleId="Style3">
    <w:name w:val="Style3"/>
    <w:uiPriority w:val="99"/>
    <w:rsid w:val="007A494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98949">
      <w:bodyDiv w:val="1"/>
      <w:marLeft w:val="0"/>
      <w:marRight w:val="0"/>
      <w:marTop w:val="0"/>
      <w:marBottom w:val="0"/>
      <w:divBdr>
        <w:top w:val="none" w:sz="0" w:space="0" w:color="auto"/>
        <w:left w:val="none" w:sz="0" w:space="0" w:color="auto"/>
        <w:bottom w:val="none" w:sz="0" w:space="0" w:color="auto"/>
        <w:right w:val="none" w:sz="0" w:space="0" w:color="auto"/>
      </w:divBdr>
    </w:div>
    <w:div w:id="634026342">
      <w:bodyDiv w:val="1"/>
      <w:marLeft w:val="0"/>
      <w:marRight w:val="0"/>
      <w:marTop w:val="0"/>
      <w:marBottom w:val="0"/>
      <w:divBdr>
        <w:top w:val="none" w:sz="0" w:space="0" w:color="auto"/>
        <w:left w:val="none" w:sz="0" w:space="0" w:color="auto"/>
        <w:bottom w:val="none" w:sz="0" w:space="0" w:color="auto"/>
        <w:right w:val="none" w:sz="0" w:space="0" w:color="auto"/>
      </w:divBdr>
    </w:div>
    <w:div w:id="1204443504">
      <w:bodyDiv w:val="1"/>
      <w:marLeft w:val="0"/>
      <w:marRight w:val="0"/>
      <w:marTop w:val="0"/>
      <w:marBottom w:val="0"/>
      <w:divBdr>
        <w:top w:val="none" w:sz="0" w:space="0" w:color="auto"/>
        <w:left w:val="none" w:sz="0" w:space="0" w:color="auto"/>
        <w:bottom w:val="none" w:sz="0" w:space="0" w:color="auto"/>
        <w:right w:val="none" w:sz="0" w:space="0" w:color="auto"/>
      </w:divBdr>
    </w:div>
    <w:div w:id="1358582782">
      <w:bodyDiv w:val="1"/>
      <w:marLeft w:val="0"/>
      <w:marRight w:val="0"/>
      <w:marTop w:val="0"/>
      <w:marBottom w:val="0"/>
      <w:divBdr>
        <w:top w:val="none" w:sz="0" w:space="0" w:color="auto"/>
        <w:left w:val="none" w:sz="0" w:space="0" w:color="auto"/>
        <w:bottom w:val="none" w:sz="0" w:space="0" w:color="auto"/>
        <w:right w:val="none" w:sz="0" w:space="0" w:color="auto"/>
      </w:divBdr>
    </w:div>
    <w:div w:id="1688168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fnfm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nfm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478">
      <a:dk1>
        <a:sysClr val="windowText" lastClr="000000"/>
      </a:dk1>
      <a:lt1>
        <a:sysClr val="window" lastClr="FFFFFF"/>
      </a:lt1>
      <a:dk2>
        <a:srgbClr val="000000"/>
      </a:dk2>
      <a:lt2>
        <a:srgbClr val="EEEEEE"/>
      </a:lt2>
      <a:accent1>
        <a:srgbClr val="005FA5"/>
      </a:accent1>
      <a:accent2>
        <a:srgbClr val="018A27"/>
      </a:accent2>
      <a:accent3>
        <a:srgbClr val="000080"/>
      </a:accent3>
      <a:accent4>
        <a:srgbClr val="999999"/>
      </a:accent4>
      <a:accent5>
        <a:srgbClr val="4BACC6"/>
      </a:accent5>
      <a:accent6>
        <a:srgbClr val="008080"/>
      </a:accent6>
      <a:hlink>
        <a:srgbClr val="0000C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8484</Words>
  <Characters>48360</Characters>
  <Application>Microsoft Office Word</Application>
  <DocSecurity>0</DocSecurity>
  <Lines>403</Lines>
  <Paragraphs>113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Ashton</dc:creator>
  <cp:keywords/>
  <cp:lastModifiedBy>Extra</cp:lastModifiedBy>
  <cp:revision>2</cp:revision>
  <cp:lastPrinted>2019-08-26T15:08:00Z</cp:lastPrinted>
  <dcterms:created xsi:type="dcterms:W3CDTF">2021-04-07T16:54:00Z</dcterms:created>
  <dcterms:modified xsi:type="dcterms:W3CDTF">2021-04-07T16:54:00Z</dcterms:modified>
</cp:coreProperties>
</file>